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721" w:rsidRDefault="00E819B4">
      <w:pPr>
        <w:ind w:hanging="2"/>
        <w:jc w:val="center"/>
        <w:rPr>
          <w:rFonts w:ascii="Nexa ligth" w:eastAsia="Nexa ligth" w:hAnsi="Nexa ligth" w:cs="Nexa ligth"/>
          <w:sz w:val="22"/>
          <w:szCs w:val="22"/>
        </w:rPr>
      </w:pPr>
      <w:r>
        <w:rPr>
          <w:rFonts w:ascii="Nexa ligth" w:eastAsia="Nexa ligth" w:hAnsi="Nexa ligth" w:cs="Nexa ligth"/>
          <w:b/>
          <w:bCs/>
          <w:sz w:val="22"/>
          <w:szCs w:val="22"/>
        </w:rPr>
        <w:t>TERMO DE REFERÊNCIA PADRÃO Nº 05/CRF/SUGF/SEMA/MT</w:t>
      </w:r>
      <w:r>
        <w:rPr>
          <w:rFonts w:ascii="Nexa ligth" w:eastAsia="Nexa ligth" w:hAnsi="Nexa ligth" w:cs="Nexa ligth"/>
          <w:b/>
          <w:bCs/>
          <w:sz w:val="22"/>
          <w:szCs w:val="22"/>
          <w:vertAlign w:val="superscript"/>
        </w:rPr>
        <w:footnoteReference w:id="1"/>
      </w:r>
    </w:p>
    <w:p w:rsidR="00040721" w:rsidRDefault="00040721">
      <w:pPr>
        <w:spacing w:line="276" w:lineRule="auto"/>
        <w:ind w:hanging="2"/>
        <w:rPr>
          <w:rFonts w:ascii="Nexa ligth" w:eastAsia="Nexa ligth" w:hAnsi="Nexa ligth" w:cs="Nexa ligth"/>
          <w:sz w:val="22"/>
          <w:szCs w:val="22"/>
        </w:rPr>
      </w:pPr>
    </w:p>
    <w:p w:rsidR="00040721" w:rsidRDefault="00E819B4">
      <w:pPr>
        <w:spacing w:line="276" w:lineRule="auto"/>
        <w:ind w:hanging="2"/>
        <w:jc w:val="center"/>
        <w:rPr>
          <w:rFonts w:ascii="Nexa ligth" w:eastAsia="Nexa ligth" w:hAnsi="Nexa ligth" w:cs="Nexa ligth"/>
          <w:b/>
          <w:bCs/>
          <w:sz w:val="22"/>
          <w:szCs w:val="22"/>
        </w:rPr>
      </w:pPr>
      <w:r>
        <w:rPr>
          <w:rFonts w:ascii="Nexa ligth" w:eastAsia="Nexa ligth" w:hAnsi="Nexa ligth" w:cs="Nexa ligth"/>
          <w:b/>
          <w:bCs/>
          <w:sz w:val="22"/>
          <w:szCs w:val="22"/>
        </w:rPr>
        <w:t xml:space="preserve">Objeto: Plano de Exploração de Florestal em Áreas Úmidas, conforme </w:t>
      </w:r>
    </w:p>
    <w:p w:rsidR="00040721" w:rsidRDefault="00E819B4">
      <w:pPr>
        <w:spacing w:line="276" w:lineRule="auto"/>
        <w:ind w:hanging="2"/>
        <w:jc w:val="center"/>
        <w:rPr>
          <w:rFonts w:ascii="Nexa ligth" w:eastAsia="Nexa ligth" w:hAnsi="Nexa ligth" w:cs="Nexa ligth"/>
          <w:b/>
          <w:bCs/>
          <w:sz w:val="22"/>
          <w:szCs w:val="22"/>
        </w:rPr>
      </w:pPr>
      <w:r>
        <w:rPr>
          <w:rFonts w:ascii="Nexa ligth" w:eastAsia="Nexa ligth" w:hAnsi="Nexa ligth" w:cs="Nexa ligth"/>
          <w:b/>
          <w:bCs/>
          <w:sz w:val="22"/>
          <w:szCs w:val="22"/>
        </w:rPr>
        <w:t>art. 15 da Resolução Consema nº 36/2026.</w:t>
      </w:r>
    </w:p>
    <w:p w:rsidR="00040721" w:rsidRDefault="00040721">
      <w:pPr>
        <w:spacing w:line="276" w:lineRule="auto"/>
        <w:ind w:hanging="2"/>
        <w:jc w:val="center"/>
        <w:rPr>
          <w:rFonts w:ascii="Nexa ligth" w:eastAsia="Nexa ligth" w:hAnsi="Nexa ligth" w:cs="Nexa ligth"/>
          <w:b/>
          <w:bCs/>
          <w:sz w:val="22"/>
          <w:szCs w:val="22"/>
        </w:rPr>
      </w:pPr>
    </w:p>
    <w:p w:rsidR="00040721" w:rsidRDefault="00040721">
      <w:pPr>
        <w:spacing w:line="276" w:lineRule="auto"/>
        <w:ind w:hanging="2"/>
        <w:jc w:val="both"/>
        <w:rPr>
          <w:rFonts w:ascii="Nexa ligth" w:eastAsia="Nexa ligth" w:hAnsi="Nexa ligth" w:cs="Nexa ligth"/>
          <w:sz w:val="22"/>
          <w:szCs w:val="22"/>
        </w:rPr>
      </w:pPr>
    </w:p>
    <w:p w:rsidR="00040721" w:rsidRDefault="00E819B4">
      <w:pPr>
        <w:numPr>
          <w:ilvl w:val="0"/>
          <w:numId w:val="16"/>
        </w:numPr>
        <w:pBdr>
          <w:top w:val="nil"/>
          <w:left w:val="nil"/>
          <w:bottom w:val="nil"/>
          <w:right w:val="nil"/>
          <w:between w:val="nil"/>
        </w:pBdr>
        <w:spacing w:line="276" w:lineRule="auto"/>
        <w:ind w:left="0" w:firstLine="0"/>
        <w:jc w:val="both"/>
        <w:rPr>
          <w:rFonts w:ascii="Nexa ligth" w:eastAsia="Nexa ligth" w:hAnsi="Nexa ligth" w:cs="Nexa ligth"/>
          <w:sz w:val="22"/>
          <w:szCs w:val="22"/>
        </w:rPr>
      </w:pPr>
      <w:r>
        <w:rPr>
          <w:rFonts w:ascii="Nexa ligth" w:eastAsia="Nexa ligth" w:hAnsi="Nexa ligth" w:cs="Nexa ligth"/>
          <w:b/>
          <w:bCs/>
          <w:sz w:val="22"/>
          <w:szCs w:val="22"/>
        </w:rPr>
        <w:t>DOCUMENTOS GERAIS</w:t>
      </w:r>
    </w:p>
    <w:p w:rsidR="00040721" w:rsidRDefault="00E819B4">
      <w:pPr>
        <w:numPr>
          <w:ilvl w:val="1"/>
          <w:numId w:val="16"/>
        </w:numPr>
        <w:pBdr>
          <w:top w:val="nil"/>
          <w:left w:val="nil"/>
          <w:bottom w:val="nil"/>
          <w:right w:val="nil"/>
          <w:between w:val="nil"/>
        </w:pBdr>
        <w:spacing w:line="276" w:lineRule="auto"/>
        <w:ind w:left="0" w:hanging="2"/>
        <w:jc w:val="both"/>
        <w:rPr>
          <w:rFonts w:ascii="Nexa ligth" w:eastAsia="Nexa ligth" w:hAnsi="Nexa ligth" w:cs="Nexa ligth"/>
        </w:rPr>
      </w:pPr>
      <w:r>
        <w:rPr>
          <w:rFonts w:ascii="Nexa ligth" w:eastAsia="Nexa ligth" w:hAnsi="Nexa ligth" w:cs="Nexa ligth"/>
          <w:sz w:val="22"/>
          <w:szCs w:val="22"/>
        </w:rPr>
        <w:t>Atender o TR nº. 01/SUGF/SEMA/MT - Documentação empreendedor/empreendimento;</w:t>
      </w:r>
    </w:p>
    <w:p w:rsidR="00040721" w:rsidRDefault="00E819B4">
      <w:pPr>
        <w:numPr>
          <w:ilvl w:val="1"/>
          <w:numId w:val="16"/>
        </w:numPr>
        <w:pBdr>
          <w:top w:val="nil"/>
          <w:left w:val="nil"/>
          <w:bottom w:val="nil"/>
          <w:right w:val="nil"/>
          <w:between w:val="nil"/>
        </w:pBdr>
        <w:spacing w:line="276" w:lineRule="auto"/>
        <w:ind w:left="719"/>
        <w:jc w:val="both"/>
        <w:rPr>
          <w:rFonts w:ascii="Nexa ligth" w:eastAsia="Nexa ligth" w:hAnsi="Nexa ligth" w:cs="Nexa ligth"/>
        </w:rPr>
      </w:pPr>
      <w:r>
        <w:rPr>
          <w:rFonts w:ascii="Nexa ligth" w:eastAsia="Nexa ligth" w:hAnsi="Nexa ligth" w:cs="Nexa ligth"/>
          <w:sz w:val="22"/>
          <w:szCs w:val="22"/>
        </w:rPr>
        <w:t>Requerimento padrão para “Plano de Exploração Florestal”, emitido via SIMLAM, devidamente preenchido em conformidade com a documentação apresentada, assinado pelo proprietário do imóvel ou por seu representante legal e pelo responsável técnico, contendo ainda os e-mails ativos do proprietário, do titular do pedido de licenciamento, do responsável técnico e do representante legal;</w:t>
      </w:r>
    </w:p>
    <w:p w:rsidR="00040721" w:rsidRDefault="00E819B4">
      <w:pPr>
        <w:numPr>
          <w:ilvl w:val="1"/>
          <w:numId w:val="16"/>
        </w:numPr>
        <w:pBdr>
          <w:top w:val="nil"/>
          <w:left w:val="nil"/>
          <w:bottom w:val="nil"/>
          <w:right w:val="nil"/>
          <w:between w:val="nil"/>
        </w:pBdr>
        <w:spacing w:line="276" w:lineRule="auto"/>
        <w:ind w:left="719"/>
        <w:jc w:val="both"/>
        <w:rPr>
          <w:rFonts w:ascii="Nexa ligth" w:eastAsia="Nexa ligth" w:hAnsi="Nexa ligth" w:cs="Nexa ligth"/>
        </w:rPr>
      </w:pPr>
      <w:r>
        <w:rPr>
          <w:rFonts w:ascii="Nexa ligth" w:eastAsia="Nexa ligth" w:hAnsi="Nexa ligth" w:cs="Nexa ligth"/>
          <w:sz w:val="22"/>
          <w:szCs w:val="22"/>
        </w:rPr>
        <w:t>Publicação do pedido da licença no Diário Oficial do Estado, em página inteira;</w:t>
      </w:r>
    </w:p>
    <w:p w:rsidR="00040721" w:rsidRDefault="00E819B4">
      <w:pPr>
        <w:numPr>
          <w:ilvl w:val="1"/>
          <w:numId w:val="16"/>
        </w:numPr>
        <w:pBdr>
          <w:top w:val="nil"/>
          <w:left w:val="nil"/>
          <w:bottom w:val="nil"/>
          <w:right w:val="nil"/>
          <w:between w:val="nil"/>
        </w:pBdr>
        <w:spacing w:line="276" w:lineRule="auto"/>
        <w:ind w:left="708" w:hanging="708"/>
        <w:jc w:val="both"/>
        <w:rPr>
          <w:rFonts w:ascii="Nexa ligth" w:eastAsia="Nexa ligth" w:hAnsi="Nexa ligth" w:cs="Nexa ligth"/>
        </w:rPr>
      </w:pPr>
      <w:r>
        <w:rPr>
          <w:rFonts w:ascii="Nexa ligth" w:eastAsia="Nexa ligth" w:hAnsi="Nexa ligth" w:cs="Nexa ligth"/>
          <w:sz w:val="22"/>
          <w:szCs w:val="22"/>
        </w:rPr>
        <w:t>Caso o imóvel seja limítrofe com Terra Indígena, deverá ser apresentado atestado administrativo ou ato equivalente, emitido pela FUNAI, comprovando que a área objeto do PEF está fora dos limites da Terra Indígena;</w:t>
      </w:r>
    </w:p>
    <w:p w:rsidR="00040721" w:rsidRDefault="00E819B4">
      <w:pPr>
        <w:numPr>
          <w:ilvl w:val="1"/>
          <w:numId w:val="16"/>
        </w:numPr>
        <w:pBdr>
          <w:top w:val="nil"/>
          <w:left w:val="nil"/>
          <w:bottom w:val="nil"/>
          <w:right w:val="nil"/>
          <w:between w:val="nil"/>
        </w:pBdr>
        <w:spacing w:line="276" w:lineRule="auto"/>
        <w:ind w:left="708" w:hanging="708"/>
        <w:jc w:val="both"/>
        <w:rPr>
          <w:rFonts w:ascii="Nexa ligth" w:eastAsia="Nexa ligth" w:hAnsi="Nexa ligth" w:cs="Nexa ligth"/>
        </w:rPr>
      </w:pPr>
      <w:r>
        <w:rPr>
          <w:rFonts w:ascii="Nexa ligth" w:eastAsia="Nexa ligth" w:hAnsi="Nexa ligth" w:cs="Nexa ligth"/>
          <w:sz w:val="22"/>
          <w:szCs w:val="22"/>
        </w:rPr>
        <w:t>Caso o imóvel esteja localizado na zona de amortecimento de Unidade de Conservação Municipal ou inserido em Área de Proteção Ambiental (APA), será obrigatória a apresentação de documento emitido pelo órgão competente, contendo manifestação favorável ao projeto solicitado;</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CTF/APP válido do proprietário. Caso o proprietário seja espólio e não possua CTF/IBAMA válido até a emissão do título autorizativo, deverá ser apresentado o CTF da inventariante. Nesta hipótese, o requerimento padrão deverá conter o CPF da inventariante do espólio;</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Apresentar a taxa e o comprovante do pagamento, do PEF e da Autorização de Desmatamento (AD), exceto nas hipóteses previstas no art. 06, VII, da Lei nº 11.179/2020;</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Comprovante de cadastro ativo do imóvel rural junto ao Sistema Nacional de Cadastro Rural – SNCR;</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Informar o código da certificação do imóvel no SIGEF, quando houver, nos termos do art. 176, §5º da Lei nº 6.015/1973;</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Apresentar Autorização para Manejo de Fauna Silvestre para Resgate e Monitoramento de Abelhas Nativas sem Ferrão;</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Quando aplicável, será exigida a baixa da reposição florestal de acordo com o disposto no Termo de Referência nº 14/CCRF/SUGF/SEMA/MT (CC-SEMA) e da Instrução Normativa SEDEC nº 2, de 19/09/2022;</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Cadastro Técnico Estadual (SEMA) atualizado;</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CTF/AIDA do responsável técnico válido até emissão do título autorizativo;</w:t>
      </w:r>
    </w:p>
    <w:p w:rsidR="00040721" w:rsidRDefault="00E819B4">
      <w:pPr>
        <w:numPr>
          <w:ilvl w:val="1"/>
          <w:numId w:val="16"/>
        </w:numPr>
        <w:pBdr>
          <w:top w:val="nil"/>
          <w:left w:val="nil"/>
          <w:bottom w:val="nil"/>
          <w:right w:val="nil"/>
          <w:between w:val="nil"/>
        </w:pBdr>
        <w:spacing w:line="276" w:lineRule="auto"/>
        <w:ind w:left="719"/>
        <w:jc w:val="both"/>
        <w:rPr>
          <w:rFonts w:ascii="Nexa ligth" w:eastAsia="Nexa ligth" w:hAnsi="Nexa ligth" w:cs="Nexa ligth"/>
        </w:rPr>
      </w:pPr>
      <w:r>
        <w:rPr>
          <w:rFonts w:ascii="Nexa ligth" w:eastAsia="Nexa ligth" w:hAnsi="Nexa ligth" w:cs="Nexa ligth"/>
          <w:sz w:val="22"/>
          <w:szCs w:val="22"/>
        </w:rPr>
        <w:t>Apresentar ART referente à elaboração e execução do PEF, devidamente preenchida e assinada pelo responsável técnico e pelo proprietário do imóvel ou por seu representante legal. A ART deverá conter:</w:t>
      </w:r>
    </w:p>
    <w:p w:rsidR="00040721" w:rsidRDefault="00E819B4">
      <w:pPr>
        <w:numPr>
          <w:ilvl w:val="0"/>
          <w:numId w:val="5"/>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proprietário do imóvel como contratante;</w:t>
      </w:r>
    </w:p>
    <w:p w:rsidR="00040721" w:rsidRDefault="00E819B4">
      <w:pPr>
        <w:numPr>
          <w:ilvl w:val="0"/>
          <w:numId w:val="5"/>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área objeto do PEF;</w:t>
      </w:r>
    </w:p>
    <w:p w:rsidR="00040721" w:rsidRDefault="00E819B4">
      <w:pPr>
        <w:numPr>
          <w:ilvl w:val="0"/>
          <w:numId w:val="5"/>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As coordenadas geográficas do empreendimento (formato GMS – -00:00:00,00);</w:t>
      </w:r>
    </w:p>
    <w:p w:rsidR="00040721" w:rsidRDefault="00E819B4">
      <w:pPr>
        <w:numPr>
          <w:ilvl w:val="0"/>
          <w:numId w:val="5"/>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lastRenderedPageBreak/>
        <w:t>Prazo de validade compatível com o cronograma proposto;</w:t>
      </w:r>
    </w:p>
    <w:p w:rsidR="00040721" w:rsidRDefault="00E819B4">
      <w:pPr>
        <w:numPr>
          <w:ilvl w:val="0"/>
          <w:numId w:val="5"/>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campo “atividade profissional” deverá ser preenchido como “projeto”;</w:t>
      </w:r>
    </w:p>
    <w:p w:rsidR="00040721" w:rsidRDefault="00E819B4">
      <w:pPr>
        <w:numPr>
          <w:ilvl w:val="0"/>
          <w:numId w:val="5"/>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campo “obra/serviço” como “desmatamento florestal”</w:t>
      </w:r>
    </w:p>
    <w:p w:rsidR="00040721" w:rsidRDefault="00E819B4">
      <w:pPr>
        <w:numPr>
          <w:ilvl w:val="1"/>
          <w:numId w:val="16"/>
        </w:numPr>
        <w:pBdr>
          <w:top w:val="nil"/>
          <w:left w:val="nil"/>
          <w:bottom w:val="nil"/>
          <w:right w:val="nil"/>
          <w:between w:val="nil"/>
        </w:pBdr>
        <w:spacing w:line="276" w:lineRule="auto"/>
        <w:ind w:left="719"/>
        <w:jc w:val="both"/>
        <w:rPr>
          <w:rFonts w:ascii="Nexa ligth" w:eastAsia="Nexa ligth" w:hAnsi="Nexa ligth" w:cs="Nexa ligth"/>
        </w:rPr>
      </w:pPr>
      <w:r>
        <w:rPr>
          <w:rFonts w:ascii="Nexa ligth" w:eastAsia="Nexa ligth" w:hAnsi="Nexa ligth" w:cs="Nexa ligth"/>
          <w:sz w:val="22"/>
          <w:szCs w:val="22"/>
        </w:rPr>
        <w:t>Quando for realizado estudo de Diagnóstico Ambiental para subsidiar a análise do PEF, deverá ser apresentado o Parecer Técnico de Recomendação de Dispensa de EIA/RIMA e a publicação da aprovação da dispensa no Diário Oficial;</w:t>
      </w:r>
    </w:p>
    <w:p w:rsidR="00040721" w:rsidRDefault="00E819B4">
      <w:pPr>
        <w:numPr>
          <w:ilvl w:val="1"/>
          <w:numId w:val="16"/>
        </w:numPr>
        <w:pBdr>
          <w:top w:val="nil"/>
          <w:left w:val="nil"/>
          <w:bottom w:val="nil"/>
          <w:right w:val="nil"/>
          <w:between w:val="nil"/>
        </w:pBdr>
        <w:spacing w:line="276" w:lineRule="auto"/>
        <w:ind w:left="719"/>
        <w:jc w:val="both"/>
        <w:rPr>
          <w:rFonts w:ascii="Nexa ligth" w:eastAsia="Nexa ligth" w:hAnsi="Nexa ligth" w:cs="Nexa ligth"/>
        </w:rPr>
      </w:pPr>
      <w:r>
        <w:rPr>
          <w:rFonts w:ascii="Nexa ligth" w:eastAsia="Nexa ligth" w:hAnsi="Nexa ligth" w:cs="Nexa ligth"/>
          <w:sz w:val="22"/>
          <w:szCs w:val="22"/>
        </w:rPr>
        <w:t>Quando for realizado EIA para subsidiar a análise do PEF, deverá ser apresentada a Licença Florestal e a publicação da aprovação do EIA/RIMA no Diário Oficial;</w:t>
      </w:r>
    </w:p>
    <w:p w:rsidR="00040721" w:rsidRDefault="00E819B4">
      <w:pPr>
        <w:numPr>
          <w:ilvl w:val="1"/>
          <w:numId w:val="16"/>
        </w:numPr>
        <w:pBdr>
          <w:top w:val="nil"/>
          <w:left w:val="nil"/>
          <w:bottom w:val="nil"/>
          <w:right w:val="nil"/>
          <w:between w:val="nil"/>
        </w:pBdr>
        <w:spacing w:line="276" w:lineRule="auto"/>
        <w:ind w:left="709" w:hanging="711"/>
        <w:jc w:val="both"/>
        <w:rPr>
          <w:rFonts w:ascii="Nexa ligth" w:eastAsia="Nexa ligth" w:hAnsi="Nexa ligth" w:cs="Nexa ligth"/>
        </w:rPr>
      </w:pPr>
      <w:r>
        <w:rPr>
          <w:rFonts w:ascii="Nexa ligth" w:eastAsia="Nexa ligth" w:hAnsi="Nexa ligth" w:cs="Nexa ligth"/>
          <w:sz w:val="22"/>
          <w:szCs w:val="22"/>
        </w:rPr>
        <w:t>O empreendimento deverá estar apto à integração das informações da autorização ao Sistema Nacional de Controle da Origem dos Produtos Florestais – Sinaflor, observados os procedimentos estabelecidos pelo IBAMA e pela SEMA/MT; e</w:t>
      </w:r>
    </w:p>
    <w:p w:rsidR="00040721" w:rsidRDefault="00E819B4">
      <w:pPr>
        <w:numPr>
          <w:ilvl w:val="1"/>
          <w:numId w:val="16"/>
        </w:numPr>
        <w:pBdr>
          <w:top w:val="nil"/>
          <w:left w:val="nil"/>
          <w:bottom w:val="nil"/>
          <w:right w:val="nil"/>
          <w:between w:val="nil"/>
        </w:pBdr>
        <w:spacing w:line="276" w:lineRule="auto"/>
        <w:ind w:left="719"/>
        <w:jc w:val="both"/>
        <w:rPr>
          <w:rFonts w:ascii="Nexa ligth" w:eastAsia="Nexa ligth" w:hAnsi="Nexa ligth" w:cs="Nexa ligth"/>
        </w:rPr>
      </w:pPr>
      <w:r>
        <w:rPr>
          <w:rFonts w:ascii="Nexa ligth" w:eastAsia="Nexa ligth" w:hAnsi="Nexa ligth" w:cs="Nexa ligth"/>
          <w:sz w:val="22"/>
          <w:szCs w:val="22"/>
        </w:rPr>
        <w:t>Outros documentos pertinentes poderão ser apresentados e/ou solicitados, conforme o caso.</w:t>
      </w:r>
    </w:p>
    <w:p w:rsidR="00040721" w:rsidRDefault="00040721">
      <w:pPr>
        <w:spacing w:line="276" w:lineRule="auto"/>
        <w:ind w:left="709" w:hanging="711"/>
        <w:jc w:val="both"/>
        <w:rPr>
          <w:rFonts w:ascii="Nexa ligth" w:eastAsia="Nexa ligth" w:hAnsi="Nexa ligth" w:cs="Nexa ligth"/>
          <w:sz w:val="22"/>
          <w:szCs w:val="22"/>
        </w:rPr>
      </w:pPr>
    </w:p>
    <w:p w:rsidR="00040721" w:rsidRDefault="00E819B4">
      <w:pPr>
        <w:numPr>
          <w:ilvl w:val="0"/>
          <w:numId w:val="1"/>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b/>
          <w:bCs/>
          <w:color w:val="000000"/>
          <w:sz w:val="22"/>
          <w:szCs w:val="22"/>
        </w:rPr>
        <w:t xml:space="preserve">      </w:t>
      </w:r>
      <w:r>
        <w:rPr>
          <w:rFonts w:ascii="Nexa ligth" w:eastAsia="Nexa ligth" w:hAnsi="Nexa ligth" w:cs="Nexa ligth"/>
          <w:b/>
          <w:bCs/>
          <w:color w:val="000000"/>
          <w:sz w:val="22"/>
          <w:szCs w:val="22"/>
        </w:rPr>
        <w:tab/>
        <w:t xml:space="preserve">ESTUDOS, PLANOS, PROJETOS E PROGRAMAS AMBIENTAIS </w:t>
      </w:r>
    </w:p>
    <w:p w:rsidR="00040721" w:rsidRDefault="00E819B4">
      <w:pPr>
        <w:numPr>
          <w:ilvl w:val="1"/>
          <w:numId w:val="1"/>
        </w:numPr>
        <w:spacing w:line="276" w:lineRule="auto"/>
        <w:ind w:left="0" w:hanging="2"/>
        <w:jc w:val="both"/>
        <w:rPr>
          <w:rFonts w:ascii="Nexa ligth" w:eastAsia="Nexa ligth" w:hAnsi="Nexa ligth" w:cs="Nexa ligth"/>
          <w:sz w:val="22"/>
          <w:szCs w:val="22"/>
        </w:rPr>
      </w:pPr>
      <w:r>
        <w:rPr>
          <w:rFonts w:ascii="Nexa ligth" w:eastAsia="Nexa ligth" w:hAnsi="Nexa ligth" w:cs="Nexa ligth"/>
          <w:b/>
          <w:bCs/>
          <w:sz w:val="22"/>
          <w:szCs w:val="22"/>
        </w:rPr>
        <w:t xml:space="preserve">Plano de Exploração Florestal </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Deverá ser apresentado o formulário do anexo III devidamente preenchido;</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Deverá ser apresentado quadro de áreas do plano proposto, conforme modelo abaixo:</w:t>
      </w:r>
    </w:p>
    <w:tbl>
      <w:tblPr>
        <w:tblStyle w:val="a"/>
        <w:tblW w:w="69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4"/>
        <w:gridCol w:w="2710"/>
      </w:tblGrid>
      <w:tr w:rsidR="00040721">
        <w:trPr>
          <w:jc w:val="center"/>
        </w:trPr>
        <w:tc>
          <w:tcPr>
            <w:tcW w:w="4224" w:type="dxa"/>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Área do plano por tipologia vegetal</w:t>
            </w:r>
          </w:p>
        </w:tc>
        <w:tc>
          <w:tcPr>
            <w:tcW w:w="2710" w:type="dxa"/>
          </w:tcPr>
          <w:p w:rsidR="00040721" w:rsidRDefault="00E819B4">
            <w:pPr>
              <w:pBdr>
                <w:top w:val="nil"/>
                <w:left w:val="nil"/>
                <w:bottom w:val="nil"/>
                <w:right w:val="nil"/>
                <w:between w:val="nil"/>
              </w:pBdr>
              <w:spacing w:line="276" w:lineRule="auto"/>
              <w:ind w:hanging="2"/>
              <w:jc w:val="center"/>
              <w:rPr>
                <w:rFonts w:ascii="Nexa ligth" w:eastAsia="Nexa ligth" w:hAnsi="Nexa ligth" w:cs="Nexa ligth"/>
                <w:sz w:val="22"/>
                <w:szCs w:val="22"/>
              </w:rPr>
            </w:pPr>
            <w:r>
              <w:rPr>
                <w:rFonts w:ascii="Nexa ligth" w:eastAsia="Nexa ligth" w:hAnsi="Nexa ligth" w:cs="Nexa ligth"/>
                <w:sz w:val="22"/>
                <w:szCs w:val="22"/>
              </w:rPr>
              <w:t>Área do PEF (ha)</w:t>
            </w:r>
          </w:p>
        </w:tc>
      </w:tr>
      <w:tr w:rsidR="00040721">
        <w:trPr>
          <w:jc w:val="center"/>
        </w:trPr>
        <w:tc>
          <w:tcPr>
            <w:tcW w:w="4224" w:type="dxa"/>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Floresta</w:t>
            </w:r>
          </w:p>
        </w:tc>
        <w:tc>
          <w:tcPr>
            <w:tcW w:w="2710" w:type="dxa"/>
          </w:tcPr>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tc>
      </w:tr>
      <w:tr w:rsidR="00040721">
        <w:trPr>
          <w:jc w:val="center"/>
        </w:trPr>
        <w:tc>
          <w:tcPr>
            <w:tcW w:w="4224" w:type="dxa"/>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Cerrado</w:t>
            </w:r>
          </w:p>
        </w:tc>
        <w:tc>
          <w:tcPr>
            <w:tcW w:w="2710" w:type="dxa"/>
          </w:tcPr>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tc>
      </w:tr>
      <w:tr w:rsidR="00040721">
        <w:trPr>
          <w:jc w:val="center"/>
        </w:trPr>
        <w:tc>
          <w:tcPr>
            <w:tcW w:w="4224" w:type="dxa"/>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Total</w:t>
            </w:r>
          </w:p>
        </w:tc>
        <w:tc>
          <w:tcPr>
            <w:tcW w:w="2710" w:type="dxa"/>
          </w:tcPr>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tc>
      </w:tr>
    </w:tbl>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a metodologia de exploração e supressão da vegetação nativa, descrevendo todas as etapas, tipos de equipamentos e maquinários;</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possíveis interferências da atividade pretendida, nos corredores ecológicos, se houver;</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o fluxograma operacional;</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o cronograma da exploração e supressão da vegetação nativa, por etapa (art. 31 e 32, da IN SEMA nº 06/2023) respeitando o prazo máximo legal. O período de duração das atividades poderá ser definido por meses, trimestres, semestres e anos. O cronograma pode ser organizado de diversas formas, uma forma fácil de organizar é utilizando a tabela, como demonstrado abaixo:</w:t>
      </w:r>
    </w:p>
    <w:tbl>
      <w:tblPr>
        <w:tblStyle w:val="a0"/>
        <w:tblW w:w="835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3"/>
        <w:gridCol w:w="1371"/>
        <w:gridCol w:w="1371"/>
        <w:gridCol w:w="1371"/>
        <w:gridCol w:w="595"/>
      </w:tblGrid>
      <w:tr w:rsidR="00040721">
        <w:trPr>
          <w:trHeight w:val="248"/>
          <w:tblHeader/>
        </w:trPr>
        <w:tc>
          <w:tcPr>
            <w:tcW w:w="3643" w:type="dxa"/>
            <w:shd w:val="clear" w:color="auto" w:fill="auto"/>
          </w:tcPr>
          <w:p w:rsidR="00040721" w:rsidRDefault="00E819B4">
            <w:pPr>
              <w:ind w:hanging="2"/>
              <w:rPr>
                <w:rFonts w:ascii="Nexa ligth" w:eastAsia="Nexa ligth" w:hAnsi="Nexa ligth" w:cs="Nexa ligth"/>
                <w:b/>
                <w:bCs/>
                <w:sz w:val="22"/>
                <w:szCs w:val="22"/>
              </w:rPr>
            </w:pPr>
            <w:r>
              <w:rPr>
                <w:rFonts w:ascii="Nexa ligth" w:eastAsia="Nexa ligth" w:hAnsi="Nexa ligth" w:cs="Nexa ligth"/>
                <w:b/>
                <w:bCs/>
                <w:sz w:val="22"/>
                <w:szCs w:val="22"/>
              </w:rPr>
              <w:t>Atividades</w:t>
            </w:r>
          </w:p>
        </w:tc>
        <w:tc>
          <w:tcPr>
            <w:tcW w:w="1371" w:type="dxa"/>
            <w:shd w:val="clear" w:color="auto" w:fill="auto"/>
          </w:tcPr>
          <w:p w:rsidR="00040721" w:rsidRDefault="00E819B4">
            <w:pPr>
              <w:ind w:hanging="2"/>
              <w:rPr>
                <w:rFonts w:ascii="Nexa ligth" w:eastAsia="Nexa ligth" w:hAnsi="Nexa ligth" w:cs="Nexa ligth"/>
                <w:b/>
                <w:bCs/>
                <w:sz w:val="22"/>
                <w:szCs w:val="22"/>
              </w:rPr>
            </w:pPr>
            <w:r>
              <w:rPr>
                <w:rFonts w:ascii="Nexa ligth" w:eastAsia="Nexa ligth" w:hAnsi="Nexa ligth" w:cs="Nexa ligth"/>
                <w:b/>
                <w:bCs/>
                <w:sz w:val="22"/>
                <w:szCs w:val="22"/>
              </w:rPr>
              <w:t>1º período</w:t>
            </w:r>
          </w:p>
        </w:tc>
        <w:tc>
          <w:tcPr>
            <w:tcW w:w="1371" w:type="dxa"/>
            <w:shd w:val="clear" w:color="auto" w:fill="auto"/>
          </w:tcPr>
          <w:p w:rsidR="00040721" w:rsidRDefault="00E819B4">
            <w:pPr>
              <w:ind w:hanging="2"/>
              <w:rPr>
                <w:rFonts w:ascii="Nexa ligth" w:eastAsia="Nexa ligth" w:hAnsi="Nexa ligth" w:cs="Nexa ligth"/>
                <w:b/>
                <w:bCs/>
                <w:sz w:val="22"/>
                <w:szCs w:val="22"/>
              </w:rPr>
            </w:pPr>
            <w:r>
              <w:rPr>
                <w:rFonts w:ascii="Nexa ligth" w:eastAsia="Nexa ligth" w:hAnsi="Nexa ligth" w:cs="Nexa ligth"/>
                <w:b/>
                <w:bCs/>
                <w:sz w:val="22"/>
                <w:szCs w:val="22"/>
              </w:rPr>
              <w:t>2º período</w:t>
            </w:r>
          </w:p>
        </w:tc>
        <w:tc>
          <w:tcPr>
            <w:tcW w:w="1371" w:type="dxa"/>
            <w:shd w:val="clear" w:color="auto" w:fill="auto"/>
          </w:tcPr>
          <w:p w:rsidR="00040721" w:rsidRDefault="00E819B4">
            <w:pPr>
              <w:ind w:hanging="2"/>
              <w:rPr>
                <w:rFonts w:ascii="Nexa ligth" w:eastAsia="Nexa ligth" w:hAnsi="Nexa ligth" w:cs="Nexa ligth"/>
                <w:b/>
                <w:bCs/>
                <w:sz w:val="22"/>
                <w:szCs w:val="22"/>
              </w:rPr>
            </w:pPr>
            <w:r>
              <w:rPr>
                <w:rFonts w:ascii="Nexa ligth" w:eastAsia="Nexa ligth" w:hAnsi="Nexa ligth" w:cs="Nexa ligth"/>
                <w:b/>
                <w:bCs/>
                <w:sz w:val="22"/>
                <w:szCs w:val="22"/>
              </w:rPr>
              <w:t>3º período</w:t>
            </w:r>
          </w:p>
        </w:tc>
        <w:tc>
          <w:tcPr>
            <w:tcW w:w="595" w:type="dxa"/>
            <w:shd w:val="clear" w:color="auto" w:fill="auto"/>
          </w:tcPr>
          <w:p w:rsidR="00040721" w:rsidRDefault="00E819B4">
            <w:pPr>
              <w:ind w:hanging="2"/>
              <w:rPr>
                <w:rFonts w:ascii="Nexa ligth" w:eastAsia="Nexa ligth" w:hAnsi="Nexa ligth" w:cs="Nexa ligth"/>
                <w:b/>
                <w:bCs/>
                <w:sz w:val="22"/>
                <w:szCs w:val="22"/>
              </w:rPr>
            </w:pPr>
            <w:r>
              <w:rPr>
                <w:rFonts w:ascii="Nexa ligth" w:eastAsia="Nexa ligth" w:hAnsi="Nexa ligth" w:cs="Nexa ligth"/>
                <w:b/>
                <w:bCs/>
                <w:sz w:val="22"/>
                <w:szCs w:val="22"/>
              </w:rPr>
              <w:t>…</w:t>
            </w:r>
          </w:p>
        </w:tc>
      </w:tr>
      <w:tr w:rsidR="00040721">
        <w:trPr>
          <w:trHeight w:val="248"/>
        </w:trPr>
        <w:tc>
          <w:tcPr>
            <w:tcW w:w="3643" w:type="dxa"/>
            <w:shd w:val="clear" w:color="auto" w:fill="auto"/>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Demarcação da área de supressão</w:t>
            </w: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595" w:type="dxa"/>
            <w:shd w:val="clear" w:color="auto" w:fill="auto"/>
          </w:tcPr>
          <w:p w:rsidR="00040721" w:rsidRDefault="00040721">
            <w:pPr>
              <w:ind w:hanging="2"/>
              <w:rPr>
                <w:rFonts w:ascii="Nexa ligth" w:eastAsia="Nexa ligth" w:hAnsi="Nexa ligth" w:cs="Nexa ligth"/>
                <w:sz w:val="22"/>
                <w:szCs w:val="22"/>
              </w:rPr>
            </w:pPr>
          </w:p>
        </w:tc>
      </w:tr>
      <w:tr w:rsidR="00040721">
        <w:trPr>
          <w:trHeight w:val="248"/>
        </w:trPr>
        <w:tc>
          <w:tcPr>
            <w:tcW w:w="3643" w:type="dxa"/>
            <w:shd w:val="clear" w:color="auto" w:fill="auto"/>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Corte das árvores</w:t>
            </w: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595" w:type="dxa"/>
            <w:shd w:val="clear" w:color="auto" w:fill="auto"/>
          </w:tcPr>
          <w:p w:rsidR="00040721" w:rsidRDefault="00040721">
            <w:pPr>
              <w:ind w:hanging="2"/>
              <w:rPr>
                <w:rFonts w:ascii="Nexa ligth" w:eastAsia="Nexa ligth" w:hAnsi="Nexa ligth" w:cs="Nexa ligth"/>
                <w:sz w:val="22"/>
                <w:szCs w:val="22"/>
              </w:rPr>
            </w:pPr>
          </w:p>
        </w:tc>
      </w:tr>
      <w:tr w:rsidR="00040721">
        <w:trPr>
          <w:trHeight w:val="248"/>
        </w:trPr>
        <w:tc>
          <w:tcPr>
            <w:tcW w:w="3643" w:type="dxa"/>
            <w:shd w:val="clear" w:color="auto" w:fill="auto"/>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Ações de manejo</w:t>
            </w: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595" w:type="dxa"/>
            <w:shd w:val="clear" w:color="auto" w:fill="auto"/>
          </w:tcPr>
          <w:p w:rsidR="00040721" w:rsidRDefault="00040721">
            <w:pPr>
              <w:ind w:hanging="2"/>
              <w:rPr>
                <w:rFonts w:ascii="Nexa ligth" w:eastAsia="Nexa ligth" w:hAnsi="Nexa ligth" w:cs="Nexa ligth"/>
                <w:sz w:val="22"/>
                <w:szCs w:val="22"/>
              </w:rPr>
            </w:pPr>
          </w:p>
        </w:tc>
      </w:tr>
      <w:tr w:rsidR="00040721">
        <w:trPr>
          <w:trHeight w:val="248"/>
        </w:trPr>
        <w:tc>
          <w:tcPr>
            <w:tcW w:w="3643" w:type="dxa"/>
            <w:shd w:val="clear" w:color="auto" w:fill="auto"/>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w:t>
            </w: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595" w:type="dxa"/>
            <w:shd w:val="clear" w:color="auto" w:fill="auto"/>
          </w:tcPr>
          <w:p w:rsidR="00040721" w:rsidRDefault="00040721">
            <w:pPr>
              <w:ind w:hanging="2"/>
              <w:rPr>
                <w:rFonts w:ascii="Nexa ligth" w:eastAsia="Nexa ligth" w:hAnsi="Nexa ligth" w:cs="Nexa ligth"/>
                <w:sz w:val="22"/>
                <w:szCs w:val="22"/>
              </w:rPr>
            </w:pPr>
          </w:p>
        </w:tc>
      </w:tr>
      <w:tr w:rsidR="00040721">
        <w:trPr>
          <w:trHeight w:val="248"/>
        </w:trPr>
        <w:tc>
          <w:tcPr>
            <w:tcW w:w="3643" w:type="dxa"/>
            <w:shd w:val="clear" w:color="auto" w:fill="auto"/>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 xml:space="preserve">Apresentação de relatório final </w:t>
            </w: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1371" w:type="dxa"/>
            <w:shd w:val="clear" w:color="auto" w:fill="auto"/>
          </w:tcPr>
          <w:p w:rsidR="00040721" w:rsidRDefault="00040721">
            <w:pPr>
              <w:ind w:hanging="2"/>
              <w:rPr>
                <w:rFonts w:ascii="Nexa ligth" w:eastAsia="Nexa ligth" w:hAnsi="Nexa ligth" w:cs="Nexa ligth"/>
                <w:sz w:val="22"/>
                <w:szCs w:val="22"/>
              </w:rPr>
            </w:pPr>
          </w:p>
        </w:tc>
        <w:tc>
          <w:tcPr>
            <w:tcW w:w="595" w:type="dxa"/>
            <w:shd w:val="clear" w:color="auto" w:fill="auto"/>
          </w:tcPr>
          <w:p w:rsidR="00040721" w:rsidRDefault="00040721">
            <w:pPr>
              <w:ind w:hanging="2"/>
              <w:rPr>
                <w:rFonts w:ascii="Nexa ligth" w:eastAsia="Nexa ligth" w:hAnsi="Nexa ligth" w:cs="Nexa ligth"/>
                <w:sz w:val="22"/>
                <w:szCs w:val="22"/>
              </w:rPr>
            </w:pPr>
          </w:p>
        </w:tc>
      </w:tr>
    </w:tbl>
    <w:p w:rsidR="00040721" w:rsidRDefault="00040721">
      <w:pPr>
        <w:pBdr>
          <w:top w:val="nil"/>
          <w:left w:val="nil"/>
          <w:bottom w:val="nil"/>
          <w:right w:val="nil"/>
          <w:between w:val="nil"/>
        </w:pBdr>
        <w:ind w:left="720" w:firstLine="0"/>
        <w:rPr>
          <w:rFonts w:ascii="Nexa ligth" w:eastAsia="Nexa ligth" w:hAnsi="Nexa ligth" w:cs="Nexa ligth"/>
          <w:color w:val="000000"/>
          <w:sz w:val="22"/>
          <w:szCs w:val="22"/>
        </w:rPr>
      </w:pP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Na caracterização da cobertura vegetal deverá ser descrita a tipologia vegetal da área, relacionando as espécies arbóreas ocorrentes, indicando as de valor comercial, as vulneráveis, as ameaçadas de extinção, as CITES, conforme a Lista Nacional Oficial de Espécies da Flora Ameaçadas de Extinção e normas específicas. Sugere-se que seja elaborado um quadro simplificado e objetivo;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Realizar a identificação da fauna silvestre predominante na área de influência do projeto, abrangendo os grupos da mastofauna, avifauna, herpetofauna e entomofauna. O diagnóstico deve destacar as espécies indicadoras de qualidade ambiental, as raras e as ameaçadas de extinção, conforme as listas oficiais vigentes, incluindo MMA, IUCN e CITES, bem como avaliar a importância ecológica dos grupos identificados;</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 identificação da fauna silvestre poderá ser realizada com base em dados secundários, desde que compatíveis com a área de influência do projeto e validados em campo pelo responsável técnico. Todos os dados faunísticos, primários ou secundários, deverão ser consolidados em tabelas, contendo, no mínimo, grupo taxonômico, nome científico, nome popular, forma de registro, fonte dos dados, status de conservação e relevância ecológica;</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Integrada às atividades de amostragem florestal e de inventário do PEF, previstas no item 2.6, deverá ser realizada busca ativa direcionada à localização de colônias de abelhas nativas sem ferrão, meliponíneos. Constatada a presença de ninhos nas parcelas amostrais, na área diretamente afetada ou na área de influência direta da intervenção, a equipe técnica deverá adotar as diretrizes previstas no Programa de Resgate e Monitoramento de Abelhas Nativas sem Ferrão, conforme item 2.3;</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Quando houver previsão de comercialização do material lenhoso oriundo da supressão de vegetação, deverá ser apresentado inventário florestal compatível com a finalidade do produto florestal, observadas as normas técnicas aplicáveis, sendo obrigatória a realização de vistoria técnica prévia pela SEMA para subsidiar a análise do pedido;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Informar o destino do material lenhoso (lenha e/ou tora) da área do plano proposto e a modalidade de recolhimento da reposição florestal;</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Quando não houver destinação comercial para o material lenhoso o recolhimento da reposição florestal se dará antes da aprovação do PEF ou conforme o art. 87, do Decreto nº 1.313/2022;</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 xml:space="preserve">Devido ao recolhimento de reposição florestal todos os indivíduos com diâmetro à altura do peito (DAP) ≥ 15 cm deverão ser inventariados seguindo os procedimentos dos itens 2.5 ou 2.6 desse TR, na ausência desses inventários o recolhimento da taxa de reposição florestal será realizado nos termos do art. 46, § 3º, da Lei Complementar nº 233/2005. </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Não será emitida autorização para supressão de vegetação nativa:</w:t>
      </w:r>
    </w:p>
    <w:p w:rsidR="00040721" w:rsidRDefault="00E819B4">
      <w:pPr>
        <w:numPr>
          <w:ilvl w:val="0"/>
          <w:numId w:val="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Em áreas vinculadas a título de Cota de Reserva Ambiental;</w:t>
      </w:r>
    </w:p>
    <w:p w:rsidR="00040721" w:rsidRDefault="00E819B4">
      <w:pPr>
        <w:numPr>
          <w:ilvl w:val="0"/>
          <w:numId w:val="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Em imóvel rural cuja inscrição no CAR esteja suspensa ou cancelada; </w:t>
      </w:r>
    </w:p>
    <w:p w:rsidR="00040721" w:rsidRDefault="00E819B4">
      <w:pPr>
        <w:numPr>
          <w:ilvl w:val="0"/>
          <w:numId w:val="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Em imóvel rural cujo cadastro do Sistema Nacional de Cadastro Rural - SNCR não esteja ativo.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O processo deverá fornecer informações suficientes para composição do ato autorizativo, incluindo:</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Código do imóvel no SNCR;</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Número do CAR e respectiva situação cadastral;</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Bioma e fitofisionomia;</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Área autorizada em hectares e percentual do imóvel;</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Volume de aproveitamento lenhoso;</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Representação georreferenciada da área autorizada em formato vetorial;</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Percentual remanescente de vegetação nativa em Área de Preservação Permanente – APP;</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Percentual remanescente de vegetação nativa em Reserva Legal;</w:t>
      </w:r>
    </w:p>
    <w:p w:rsidR="00040721" w:rsidRDefault="00E819B4">
      <w:pPr>
        <w:numPr>
          <w:ilvl w:val="0"/>
          <w:numId w:val="7"/>
        </w:numPr>
        <w:pBdr>
          <w:top w:val="nil"/>
          <w:left w:val="nil"/>
          <w:bottom w:val="nil"/>
          <w:right w:val="nil"/>
          <w:between w:val="nil"/>
        </w:pBdr>
        <w:spacing w:line="276" w:lineRule="auto"/>
        <w:ind w:left="1134" w:hanging="425"/>
        <w:rPr>
          <w:rFonts w:ascii="Nexa ligth" w:eastAsia="Nexa ligth" w:hAnsi="Nexa ligth" w:cs="Nexa ligth"/>
          <w:color w:val="000000"/>
          <w:sz w:val="22"/>
          <w:szCs w:val="22"/>
        </w:rPr>
      </w:pPr>
      <w:r>
        <w:rPr>
          <w:rFonts w:ascii="Nexa ligth" w:eastAsia="Nexa ligth" w:hAnsi="Nexa ligth" w:cs="Nexa ligth"/>
          <w:color w:val="000000"/>
          <w:sz w:val="22"/>
          <w:szCs w:val="22"/>
        </w:rPr>
        <w:t>Percentual remanescente de vegetação nativa nas demais áreas protegidas por lei.</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a identificação, caracterização e classificação do solo até o terceiro nível conforme o Sistema Brasileiro de Classificação de Solos - SiBCS</w:t>
      </w:r>
      <w:r>
        <w:rPr>
          <w:rFonts w:ascii="Nexa ligth" w:eastAsia="Nexa ligth" w:hAnsi="Nexa ligth" w:cs="Nexa ligth"/>
          <w:sz w:val="22"/>
          <w:szCs w:val="22"/>
          <w:vertAlign w:val="superscript"/>
        </w:rPr>
        <w:footnoteReference w:id="2"/>
      </w:r>
      <w:r>
        <w:rPr>
          <w:rFonts w:ascii="Nexa ligth" w:eastAsia="Nexa ligth" w:hAnsi="Nexa ligth" w:cs="Nexa ligth"/>
          <w:sz w:val="22"/>
          <w:szCs w:val="22"/>
        </w:rPr>
        <w:t>, associado à interpretação de imagens de sensoriamento remoto;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As caracterizações dos perfis representativos deverão contemplar a descrição morfológica dos horizontes diagnósticos utilizando o Manual Técnico de Pedologia (IBGE, 2015</w:t>
      </w:r>
      <w:r>
        <w:rPr>
          <w:rFonts w:ascii="Nexa ligth" w:eastAsia="Nexa ligth" w:hAnsi="Nexa ligth" w:cs="Nexa ligth"/>
          <w:sz w:val="22"/>
          <w:szCs w:val="22"/>
          <w:vertAlign w:val="superscript"/>
        </w:rPr>
        <w:footnoteReference w:id="3"/>
      </w:r>
      <w:r>
        <w:rPr>
          <w:rFonts w:ascii="Nexa ligth" w:eastAsia="Nexa ligth" w:hAnsi="Nexa ligth" w:cs="Nexa ligth"/>
          <w:sz w:val="22"/>
          <w:szCs w:val="22"/>
        </w:rPr>
        <w:t>), incluindo, no mínimo: Cor (matiz, valor e croma); Estrutura; Textura; Consistência (seca, úmida e molhada); Plasticidade e pegajosidade; Profundidade e espessura dos horizontes; Presença de mosqueados, concreções, ferruginizações, redução ou gleização; e Indícios de saturação hídrica periódica ou permanente;</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metodologia do levantamento pedológico deverá observar os Procedimentos Normativos para Levantamentos Pedológicos da EMBRAPA</w:t>
      </w:r>
      <w:r>
        <w:rPr>
          <w:rFonts w:ascii="Nexa ligth" w:eastAsia="Nexa ligth" w:hAnsi="Nexa ligth" w:cs="Nexa ligth"/>
          <w:color w:val="000000"/>
          <w:sz w:val="22"/>
          <w:szCs w:val="22"/>
          <w:vertAlign w:val="superscript"/>
        </w:rPr>
        <w:footnoteReference w:id="4"/>
      </w:r>
      <w:r>
        <w:rPr>
          <w:rFonts w:ascii="Nexa ligth" w:eastAsia="Nexa ligth" w:hAnsi="Nexa ligth" w:cs="Nexa ligth"/>
          <w:color w:val="000000"/>
          <w:sz w:val="22"/>
          <w:szCs w:val="22"/>
        </w:rPr>
        <w:t>, devendo apresentar:</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critério de distribuição dos pontos de observação (sistemático ou estratificado), garantindo a representatividade da paisagem a partir da relação solo-relevo;</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A densidade de observações (tradagens) por hectare; </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densidade de observações para escala maior ou igual a 1:25.000 será de 0,02 a 0,20 obs/ha;</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abertura de perfis representativos das unidades pedológicas identificadas, se necessário;</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número de abertura de perfis representativos;</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registro fotográfico datado e georreferenciado dos perfis representativos;</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O registro da profundidade do lençol freático quando interceptado; </w:t>
      </w:r>
    </w:p>
    <w:p w:rsidR="00040721" w:rsidRDefault="00E819B4">
      <w:pPr>
        <w:numPr>
          <w:ilvl w:val="0"/>
          <w:numId w:val="8"/>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período do estudo (seco/chuvoso).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Deverá ser apresentada uma tabela com os pontos de observações (tradagens) contendo para cada ponto:</w:t>
      </w:r>
    </w:p>
    <w:p w:rsidR="00040721" w:rsidRDefault="00E819B4">
      <w:pPr>
        <w:numPr>
          <w:ilvl w:val="0"/>
          <w:numId w:val="9"/>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Identificação numérica sequencial;</w:t>
      </w:r>
    </w:p>
    <w:p w:rsidR="00040721" w:rsidRDefault="00E819B4">
      <w:pPr>
        <w:numPr>
          <w:ilvl w:val="0"/>
          <w:numId w:val="9"/>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Coordenadas geográficas no Sistema SIRGAS 2000;</w:t>
      </w:r>
    </w:p>
    <w:p w:rsidR="00040721" w:rsidRDefault="00E819B4">
      <w:pPr>
        <w:numPr>
          <w:ilvl w:val="0"/>
          <w:numId w:val="9"/>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Cota altimétrica;</w:t>
      </w:r>
    </w:p>
    <w:p w:rsidR="00040721" w:rsidRDefault="00E819B4">
      <w:pPr>
        <w:numPr>
          <w:ilvl w:val="0"/>
          <w:numId w:val="9"/>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Profundidade da tradagem;</w:t>
      </w:r>
    </w:p>
    <w:p w:rsidR="00040721" w:rsidRDefault="00E819B4">
      <w:pPr>
        <w:numPr>
          <w:ilvl w:val="0"/>
          <w:numId w:val="9"/>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Descrição morfológica sintética dos horizontes observados.</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Identificação de solos hidromórficos e da saturação hídrica, incluindo:</w:t>
      </w:r>
    </w:p>
    <w:p w:rsidR="00040721" w:rsidRDefault="00E819B4">
      <w:pPr>
        <w:numPr>
          <w:ilvl w:val="0"/>
          <w:numId w:val="10"/>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Ocorrência de Plintossolos háplicos ou argilúvicos;</w:t>
      </w:r>
    </w:p>
    <w:p w:rsidR="00040721" w:rsidRDefault="00E819B4">
      <w:pPr>
        <w:numPr>
          <w:ilvl w:val="0"/>
          <w:numId w:val="10"/>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Presença de horizontes com cores predominantemente acinzentadas (croma ≤ 2 e valor ≥ 5) nos primeiros 50 cm do perfil;</w:t>
      </w:r>
    </w:p>
    <w:p w:rsidR="00040721" w:rsidRDefault="00E819B4">
      <w:pPr>
        <w:numPr>
          <w:ilvl w:val="0"/>
          <w:numId w:val="10"/>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Presença de horizonte H hístico, quando aplicável;</w:t>
      </w:r>
    </w:p>
    <w:p w:rsidR="00040721" w:rsidRDefault="00E819B4">
      <w:pPr>
        <w:numPr>
          <w:ilvl w:val="0"/>
          <w:numId w:val="10"/>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influência direta do lençol freático, permanente ou periódica, desde a superfície até, no mínimo, 50 cm de profundidade.</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Caracterização do horizonte plíntico ou de materiais plintíticos, incluindo:</w:t>
      </w:r>
    </w:p>
    <w:p w:rsidR="00040721" w:rsidRDefault="00E819B4">
      <w:pPr>
        <w:numPr>
          <w:ilvl w:val="0"/>
          <w:numId w:val="11"/>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Presença de horizonte plíntico, litoplíntico ou concrecionário;</w:t>
      </w:r>
    </w:p>
    <w:p w:rsidR="00040721" w:rsidRDefault="00E819B4">
      <w:pPr>
        <w:numPr>
          <w:ilvl w:val="0"/>
          <w:numId w:val="11"/>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Percentual estimado de plintita, considerando o mínimo de 15% para caracterização de horizonte plíntico;</w:t>
      </w:r>
    </w:p>
    <w:p w:rsidR="00040721" w:rsidRDefault="00E819B4">
      <w:pPr>
        <w:numPr>
          <w:ilvl w:val="0"/>
          <w:numId w:val="11"/>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Espessura do horizonte diagnóstico;</w:t>
      </w:r>
    </w:p>
    <w:p w:rsidR="00040721" w:rsidRDefault="00E819B4">
      <w:pPr>
        <w:numPr>
          <w:ilvl w:val="0"/>
          <w:numId w:val="11"/>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Profundidade do limite superior do horizonte plíntico;</w:t>
      </w:r>
    </w:p>
    <w:p w:rsidR="00040721" w:rsidRDefault="00E819B4">
      <w:pPr>
        <w:numPr>
          <w:ilvl w:val="0"/>
          <w:numId w:val="11"/>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Grau de continuidade, cimentação ou endurecimento irreversível;</w:t>
      </w:r>
    </w:p>
    <w:p w:rsidR="00040721" w:rsidRDefault="00E819B4">
      <w:pPr>
        <w:numPr>
          <w:ilvl w:val="0"/>
          <w:numId w:val="11"/>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Risco de degradação estrutural do solo em caso de exposição ou drenagem.</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Caso o levantamento pedológico constatar a ocorrência de solos não hidromórficos em área classificada como Área Úmida e daquelas de Uso Restrito na base temática oficial da SEMA, o interessado, querendo, poderá apresentar os estudos para a descaracterização previstos no Termo de Referência Padrão 215/SUIMIS/SEMA/2026 (DESCARACTERIZAÇÃO);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Classificar o solo quanto à suscetibilidade de erosão e escorregamento;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As áreas com características semelhantes deverão ser delimitadas e mapeadas para composição das unidades pedológicas homogêneas, considerando os seguintes aspectos:</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As características topográficas e geomorfológicas da área;</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capacidade de infiltração, drenagem e escoamento superficial das águas pluviais;</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relação dos solos com o nível freático e demais condições hidrológicas locais;</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ocorrência ou suscetibilidade a processos erosivos;</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uso e ocupação atual do solo;</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cobertura vegetal existente;</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 interpretação de imagens de sensoriamento remoto; e</w:t>
      </w:r>
    </w:p>
    <w:p w:rsidR="00040721" w:rsidRDefault="00E819B4">
      <w:pPr>
        <w:numPr>
          <w:ilvl w:val="0"/>
          <w:numId w:val="12"/>
        </w:numPr>
        <w:pBdr>
          <w:top w:val="nil"/>
          <w:left w:val="nil"/>
          <w:bottom w:val="nil"/>
          <w:right w:val="nil"/>
          <w:between w:val="nil"/>
        </w:pBdr>
        <w:spacing w:line="276" w:lineRule="auto"/>
        <w:ind w:left="1531" w:hanging="113"/>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As informações obtidas em vistoria de campo.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 xml:space="preserve">O mapa das unidades pedológicas homogêneas deverá conter legenda completa e ser elaborado em escala compatível com a área de estudo, de forma a permitir a adequada identificação e visualização dos compartimentos mapeados; </w:t>
      </w:r>
    </w:p>
    <w:p w:rsidR="00040721" w:rsidRDefault="00E819B4">
      <w:pPr>
        <w:numPr>
          <w:ilvl w:val="2"/>
          <w:numId w:val="25"/>
        </w:numPr>
        <w:spacing w:line="276" w:lineRule="auto"/>
        <w:jc w:val="both"/>
        <w:rPr>
          <w:rFonts w:ascii="Nexa ligth" w:eastAsia="Nexa ligth" w:hAnsi="Nexa ligth" w:cs="Nexa ligth"/>
          <w:sz w:val="22"/>
          <w:szCs w:val="22"/>
        </w:rPr>
      </w:pPr>
      <w:bookmarkStart w:id="1" w:name="_heading=h.sq6925ljm4r5" w:colFirst="0" w:colLast="0"/>
      <w:bookmarkEnd w:id="1"/>
      <w:r>
        <w:rPr>
          <w:rFonts w:ascii="Nexa ligth" w:eastAsia="Nexa ligth" w:hAnsi="Nexa ligth" w:cs="Nexa ligth"/>
          <w:sz w:val="22"/>
          <w:szCs w:val="22"/>
        </w:rPr>
        <w:t>Apresentar a caracterização hidrológica, contemplando:</w:t>
      </w:r>
    </w:p>
    <w:p w:rsidR="00040721" w:rsidRDefault="00E819B4">
      <w:pPr>
        <w:numPr>
          <w:ilvl w:val="0"/>
          <w:numId w:val="2"/>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Identificação da sub-bacia hidrográfica de inserção do imóvel, com indicação do curso d’água principal e seus afluentes, caracterização do regime hidrológico (perene, intermitente ou efêmero) e demonstração da dinâmica de inundação ou encharcamento periódico, quando existente;</w:t>
      </w:r>
    </w:p>
    <w:p w:rsidR="00040721" w:rsidRDefault="00E819B4">
      <w:pPr>
        <w:numPr>
          <w:ilvl w:val="0"/>
          <w:numId w:val="2"/>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Demonstrar tecnicamente que o projeto não contempla intervenções capazes de promover alteração significativa do nível freático ou interrupção da drenagem superficial natural, tais como aterros, diques, canais, barramentos ou outras obras que possam modificar o regime hidrológico da área;</w:t>
      </w:r>
    </w:p>
    <w:p w:rsidR="00040721" w:rsidRDefault="00E819B4">
      <w:pPr>
        <w:numPr>
          <w:ilvl w:val="0"/>
          <w:numId w:val="2"/>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Apresentar proposta de monitoramento da qualidade das águas superficiais e subterrâneas, contendo, no mínimo:</w:t>
      </w:r>
    </w:p>
    <w:p w:rsidR="00040721" w:rsidRDefault="00E819B4">
      <w:pPr>
        <w:numPr>
          <w:ilvl w:val="0"/>
          <w:numId w:val="20"/>
        </w:numPr>
        <w:pBdr>
          <w:top w:val="nil"/>
          <w:left w:val="nil"/>
          <w:bottom w:val="nil"/>
          <w:right w:val="nil"/>
          <w:between w:val="nil"/>
        </w:pBdr>
        <w:spacing w:line="276" w:lineRule="auto"/>
        <w:ind w:left="1560" w:hanging="141"/>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Justificativa técnica para os parâmetros selecionados;</w:t>
      </w:r>
    </w:p>
    <w:p w:rsidR="00040721" w:rsidRDefault="00E819B4">
      <w:pPr>
        <w:numPr>
          <w:ilvl w:val="0"/>
          <w:numId w:val="20"/>
        </w:numPr>
        <w:pBdr>
          <w:top w:val="nil"/>
          <w:left w:val="nil"/>
          <w:bottom w:val="nil"/>
          <w:right w:val="nil"/>
          <w:between w:val="nil"/>
        </w:pBdr>
        <w:spacing w:line="276" w:lineRule="auto"/>
        <w:ind w:left="1560" w:hanging="141"/>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Metodologia de amostragem;</w:t>
      </w:r>
    </w:p>
    <w:p w:rsidR="00040721" w:rsidRDefault="00E819B4">
      <w:pPr>
        <w:numPr>
          <w:ilvl w:val="0"/>
          <w:numId w:val="20"/>
        </w:numPr>
        <w:pBdr>
          <w:top w:val="nil"/>
          <w:left w:val="nil"/>
          <w:bottom w:val="nil"/>
          <w:right w:val="nil"/>
          <w:between w:val="nil"/>
        </w:pBdr>
        <w:spacing w:line="276" w:lineRule="auto"/>
        <w:ind w:left="1560" w:hanging="141"/>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Frequência de monitoramento, devendo ser realizada, obrigatoriamente, campanha de monitoramento por ocasião da apresentação do Relatório Pós-Exploratório do PEF;</w:t>
      </w:r>
    </w:p>
    <w:p w:rsidR="00040721" w:rsidRDefault="00E819B4">
      <w:pPr>
        <w:numPr>
          <w:ilvl w:val="0"/>
          <w:numId w:val="20"/>
        </w:numPr>
        <w:pBdr>
          <w:top w:val="nil"/>
          <w:left w:val="nil"/>
          <w:bottom w:val="nil"/>
          <w:right w:val="nil"/>
          <w:between w:val="nil"/>
        </w:pBdr>
        <w:spacing w:line="276" w:lineRule="auto"/>
        <w:ind w:left="1560" w:hanging="141"/>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Localização georreferenciada dos pontos de coleta;</w:t>
      </w:r>
    </w:p>
    <w:p w:rsidR="00040721" w:rsidRDefault="00E819B4">
      <w:pPr>
        <w:numPr>
          <w:ilvl w:val="0"/>
          <w:numId w:val="20"/>
        </w:numPr>
        <w:pBdr>
          <w:top w:val="nil"/>
          <w:left w:val="nil"/>
          <w:bottom w:val="nil"/>
          <w:right w:val="nil"/>
          <w:between w:val="nil"/>
        </w:pBdr>
        <w:spacing w:line="276" w:lineRule="auto"/>
        <w:ind w:left="1560" w:hanging="141"/>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Critérios para avaliação e interpretação dos resultados, considerando as características ambientais da área, a condição inicial de referência da qualidade da água e os potenciais fatores de alteração decorrentes da atividade.</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a caracterização do relevo, contemplando:</w:t>
      </w:r>
    </w:p>
    <w:p w:rsidR="00040721" w:rsidRDefault="00E819B4">
      <w:pPr>
        <w:numPr>
          <w:ilvl w:val="0"/>
          <w:numId w:val="3"/>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Descrição das formas de relevo, com indicação da ocorrência ou suscetibilidade a processos erosivos, assoreamento e inundações sazonais;</w:t>
      </w:r>
    </w:p>
    <w:p w:rsidR="00040721" w:rsidRDefault="00E819B4">
      <w:pPr>
        <w:numPr>
          <w:ilvl w:val="0"/>
          <w:numId w:val="3"/>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Identificação e delimitação de superfícies rebaixadas, planícies aluviais, terraços fluviais, depressões, campos de murundus e demais formas que condicionem acúmulo ou estagnação de água; </w:t>
      </w:r>
    </w:p>
    <w:p w:rsidR="00600E05" w:rsidRDefault="00600E05" w:rsidP="00600E05">
      <w:pPr>
        <w:numPr>
          <w:ilvl w:val="0"/>
          <w:numId w:val="3"/>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sidRPr="00600E05">
        <w:rPr>
          <w:rFonts w:ascii="Nexa ligth" w:eastAsia="Nexa ligth" w:hAnsi="Nexa ligth" w:cs="Nexa ligth"/>
          <w:color w:val="000000"/>
          <w:sz w:val="22"/>
          <w:szCs w:val="22"/>
        </w:rPr>
        <w:t>Quando houver ocorrência de microrrelevos e montículos naturais na área objeto do Plano de Exploração Florestal (PEF), essas feições deverão ser identificadas e delimitadas cartograficamente, com indicação do somatório de suas respectivas áreas.</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 xml:space="preserve">Apresentar a caracterização climática da região com dados de: </w:t>
      </w:r>
    </w:p>
    <w:p w:rsidR="00040721" w:rsidRDefault="00E819B4">
      <w:pPr>
        <w:numPr>
          <w:ilvl w:val="0"/>
          <w:numId w:val="1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Precipitação média anual, </w:t>
      </w:r>
    </w:p>
    <w:p w:rsidR="00040721" w:rsidRDefault="00E819B4">
      <w:pPr>
        <w:numPr>
          <w:ilvl w:val="0"/>
          <w:numId w:val="1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Distribuição sazonal das chuvas, </w:t>
      </w:r>
    </w:p>
    <w:p w:rsidR="00040721" w:rsidRDefault="00E819B4">
      <w:pPr>
        <w:numPr>
          <w:ilvl w:val="0"/>
          <w:numId w:val="1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Temperatura média e </w:t>
      </w:r>
    </w:p>
    <w:p w:rsidR="00040721" w:rsidRDefault="00E819B4">
      <w:pPr>
        <w:numPr>
          <w:ilvl w:val="0"/>
          <w:numId w:val="14"/>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Umidade relativa do ar.</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Caracterizar o solo quanto à sua aptidão agrícola para o estabelecimento das espécies forrageiras pretendidas, apresentando justificativa técnica que demonstre a compatibilidade entre as características edáficas da área e as espécies selecionadas, com a devida identificação das espécies forrageiras adaptadas às condições de elevada umidade do solo;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O pedido de aproveitamento dos resíduos da exploração florestal, sem a apresentação de estudo técnico, poderá ser protocolado conjuntamente com o requerimento do Plano de Exploração Florestal – PEF, desde que a volumetria solicitada não exceda o limite de 0,5 st de resíduos para cada 1 st de lenha autorizada e a proporção de 0,5 st de resíduo para cada 1 m³ de tora autorizada;</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O pedido de revisão da decisão de indeferimento deverá ser protocolado no mesmo processo em que ocorreu a negativa da solicitação, no prazo máximo de 20 (vinte) dias, contados da data de publicação no Diário Oficial do Estado (DOE), mediante comprovação do pagamento da taxa de reanálise, fixada em 2 (duas) UPFs, conforme item 09 do anexo V da Lei nº 11.179/2020.</w:t>
      </w:r>
    </w:p>
    <w:p w:rsidR="00040721" w:rsidRDefault="00040721">
      <w:pPr>
        <w:spacing w:line="276" w:lineRule="auto"/>
        <w:ind w:left="720" w:firstLine="0"/>
        <w:jc w:val="both"/>
        <w:rPr>
          <w:rFonts w:ascii="Nexa ligth" w:eastAsia="Nexa ligth" w:hAnsi="Nexa ligth" w:cs="Nexa ligth"/>
          <w:sz w:val="22"/>
          <w:szCs w:val="22"/>
        </w:rPr>
      </w:pPr>
    </w:p>
    <w:p w:rsidR="00040721" w:rsidRDefault="00E819B4">
      <w:pPr>
        <w:numPr>
          <w:ilvl w:val="1"/>
          <w:numId w:val="25"/>
        </w:numPr>
        <w:spacing w:line="276" w:lineRule="auto"/>
        <w:ind w:left="709" w:hanging="709"/>
        <w:jc w:val="both"/>
        <w:rPr>
          <w:rFonts w:ascii="Nexa ligth" w:eastAsia="Nexa ligth" w:hAnsi="Nexa ligth" w:cs="Nexa ligth"/>
          <w:sz w:val="22"/>
          <w:szCs w:val="22"/>
        </w:rPr>
      </w:pPr>
      <w:r>
        <w:rPr>
          <w:rFonts w:ascii="Nexa ligth" w:eastAsia="Nexa ligth" w:hAnsi="Nexa ligth" w:cs="Nexa ligth"/>
          <w:b/>
          <w:bCs/>
          <w:sz w:val="22"/>
          <w:szCs w:val="22"/>
        </w:rPr>
        <w:t>Para solicitação da Supressão de Vegetação Nativa (etapa 2 - AD) descrita no art. 31, II, da IN SEMA nº 06/2023</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Ofício solicitando a Autorização para Desmatamento - AD;</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O Cadastro Técnico Federal – CTF do proprietário, detentor e responsável técnico deverá estar válido;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o relatório técnico das atividades realizadas no Plano de Exploração Florestal – Etapa 1, contendo: área explorada em hectares, localização da exploração efetiva, indicação sobre indivíduos não comercializados e sua conversão em lenha (st). Deverá ser apresentada nova ART, caso haja alteração do responsável técnico em relação à ART de execução;</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relatório fotográfico (datado e georreferenciado) das atividades realizadas na Etapa 1 do PEF;</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Tabela com volume explorado por espécie, e, se aplicável, volume remanescente;</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Tabela com volume da lenha a ser explorado (st);</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Dinâmica de desmate atualizada para o período da exploração autorizada;</w:t>
      </w:r>
    </w:p>
    <w:p w:rsidR="00040721" w:rsidRDefault="00E819B4">
      <w:pPr>
        <w:numPr>
          <w:ilvl w:val="2"/>
          <w:numId w:val="25"/>
        </w:numPr>
        <w:spacing w:line="276" w:lineRule="auto"/>
        <w:jc w:val="both"/>
        <w:rPr>
          <w:rFonts w:ascii="Nexa ligth" w:eastAsia="Nexa ligth" w:hAnsi="Nexa ligth" w:cs="Nexa ligth"/>
          <w:sz w:val="22"/>
          <w:szCs w:val="22"/>
        </w:rPr>
      </w:pPr>
      <w:r>
        <w:rPr>
          <w:rFonts w:ascii="Nexa ligth" w:eastAsia="Nexa ligth" w:hAnsi="Nexa ligth" w:cs="Nexa ligth"/>
          <w:sz w:val="22"/>
          <w:szCs w:val="22"/>
        </w:rPr>
        <w:t>Cronograma da supressão da vegetação nativa, com prazo máximo de 1 (um) ano; e</w:t>
      </w:r>
    </w:p>
    <w:p w:rsidR="00040721" w:rsidRDefault="00E819B4">
      <w:pPr>
        <w:numPr>
          <w:ilvl w:val="2"/>
          <w:numId w:val="25"/>
        </w:numPr>
        <w:spacing w:line="276" w:lineRule="auto"/>
        <w:ind w:left="0" w:hanging="2"/>
        <w:jc w:val="both"/>
        <w:rPr>
          <w:rFonts w:ascii="Nexa ligth" w:eastAsia="Nexa ligth" w:hAnsi="Nexa ligth" w:cs="Nexa ligth"/>
          <w:sz w:val="22"/>
          <w:szCs w:val="22"/>
        </w:rPr>
      </w:pPr>
      <w:r>
        <w:rPr>
          <w:rFonts w:ascii="Nexa ligth" w:eastAsia="Nexa ligth" w:hAnsi="Nexa ligth" w:cs="Nexa ligth"/>
          <w:sz w:val="22"/>
          <w:szCs w:val="22"/>
        </w:rPr>
        <w:t>Outros documentos pertinentes poderão ser apresentados e/ou solicitado, conforme o caso.</w:t>
      </w:r>
    </w:p>
    <w:p w:rsidR="00040721" w:rsidRDefault="00040721">
      <w:pPr>
        <w:spacing w:line="276" w:lineRule="auto"/>
        <w:ind w:firstLine="0"/>
        <w:jc w:val="both"/>
        <w:rPr>
          <w:rFonts w:ascii="Nexa ligth" w:eastAsia="Nexa ligth" w:hAnsi="Nexa ligth" w:cs="Nexa ligth"/>
          <w:sz w:val="22"/>
          <w:szCs w:val="22"/>
        </w:rPr>
      </w:pPr>
    </w:p>
    <w:p w:rsidR="00040721" w:rsidRDefault="00E819B4">
      <w:pPr>
        <w:numPr>
          <w:ilvl w:val="1"/>
          <w:numId w:val="25"/>
        </w:numPr>
        <w:pBdr>
          <w:top w:val="nil"/>
          <w:left w:val="nil"/>
          <w:bottom w:val="nil"/>
          <w:right w:val="nil"/>
          <w:between w:val="nil"/>
        </w:pBdr>
        <w:spacing w:line="276" w:lineRule="auto"/>
        <w:ind w:left="709" w:hanging="709"/>
        <w:jc w:val="both"/>
        <w:rPr>
          <w:rFonts w:ascii="Nexa ligth" w:eastAsia="Nexa ligth" w:hAnsi="Nexa ligth" w:cs="Nexa ligth"/>
          <w:sz w:val="22"/>
          <w:szCs w:val="22"/>
        </w:rPr>
      </w:pPr>
      <w:r>
        <w:rPr>
          <w:rFonts w:ascii="Nexa ligth" w:eastAsia="Nexa ligth" w:hAnsi="Nexa ligth" w:cs="Nexa ligth"/>
          <w:b/>
          <w:bCs/>
          <w:sz w:val="22"/>
          <w:szCs w:val="22"/>
        </w:rPr>
        <w:t xml:space="preserve">Meio Sócio Econômico, Medidas Mitigadoras e Compensatórias </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Deverá ser apresentada a análise dos impactos ambientais prováveis, acompanhada de propostas mitigadoras e compensatórias destinadas a reduzir os efeitos da supressão vegetal sobre fauna e flora, como exemplos: delimitação prévia da área do PEF com abertura de carreadores para evitar supressão além da área prevista; promoção da migração de mamíferos terrestres de médio e grande porte para áreas remanescentes com vegetação nativa; proteção e conservação das áreas de preservação permanente; isolamento com cercas das áreas suscetíveis à degradação do solo, da flora ou da hidrografia, de modo a impedir o acesso de animais; presença de vetores; entre outros relacionados aos aspectos da atividade;</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Medidas para minimizar os danos e impactos negativos causados aos recursos hídricos (ações que tenha objetivo de prevenir: a alteração da qualidade da água e do aquífero; o processo erosivo; e o assoreamento de cursos d’água);</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Medidas que podem ser usadas para diminuir os efeitos dos impactos ambientais causados no solo (relatório de acompanhamento e monitoramento relativos ao sistema do comportamento do lençol freático; controle ambiental do solo, recursos hídricos com caracterização de parâmetros controladores, neste caso análises físico-químico das águas e do solo; etc.);</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Em caso de previsão de supressão das espécies constantes na Lista Nacional Oficial de Espécies da Flora Ameaçadas de Extinção e normas específicas previstas nas normas vigentes, deverão ser apresentadas medidas mitigadoras e compensatórias, conforme a Instrução Normativa SEMA nº 02/2017. Havendo a necessidade de recolhimento da reposição Florestal para exploração de espécies vulneráveis, a mesma deverá ser realizada previamente à aprovação do PEF;</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Descrever as medidas de prevenção, afugentamento, proteção e mitigação da fauna a serem adotadas durante a execução da supressão de vegetação nativa, sendo vedada a utilização da metodologia de desmate conhecida como "correntão".</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a metodologia de afugentamento da fauna, indicando os procedimentos a serem adotados antes e durante a supressão da vegetação, de forma a minimizar os impactos sobre a fauna silvestre;</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Apresentar Autorização para Manejo de Fauna Silvestre para Resgate e Monitoramento de Abelhas Nativas sem Ferrão, emitida pela SEMA/MT, comprovando a aprovação do Programa de Resgate e Monitoramento em conformidade com a Resolução CONAMA nº 512/2026, observados os seguintes requisitos:</w:t>
      </w:r>
    </w:p>
    <w:p w:rsidR="00040721" w:rsidRDefault="00E819B4">
      <w:pPr>
        <w:numPr>
          <w:ilvl w:val="2"/>
          <w:numId w:val="18"/>
        </w:numPr>
        <w:pBdr>
          <w:top w:val="nil"/>
          <w:left w:val="nil"/>
          <w:bottom w:val="nil"/>
          <w:right w:val="nil"/>
          <w:between w:val="nil"/>
        </w:pBdr>
        <w:spacing w:line="276" w:lineRule="auto"/>
        <w:ind w:left="1134" w:hanging="357"/>
        <w:jc w:val="both"/>
        <w:rPr>
          <w:rFonts w:ascii="Nexa ligth" w:eastAsia="Nexa ligth" w:hAnsi="Nexa ligth" w:cs="Nexa ligth"/>
          <w:sz w:val="22"/>
          <w:szCs w:val="22"/>
        </w:rPr>
      </w:pPr>
      <w:r>
        <w:rPr>
          <w:rFonts w:ascii="Nexa ligth" w:eastAsia="Nexa ligth" w:hAnsi="Nexa ligth" w:cs="Nexa ligth"/>
          <w:sz w:val="22"/>
          <w:szCs w:val="22"/>
        </w:rPr>
        <w:t>A Autorização para Manejo de Fauna Silvestre deverá ser apresentada previamente à aprovação do Plano de Exploração Florestal (PEF), ressalvada a hipótese prevista no art. 79 do Decreto Estadual nº 1.313/2022;</w:t>
      </w:r>
    </w:p>
    <w:p w:rsidR="00040721" w:rsidRDefault="00E819B4">
      <w:pPr>
        <w:numPr>
          <w:ilvl w:val="2"/>
          <w:numId w:val="18"/>
        </w:numPr>
        <w:pBdr>
          <w:top w:val="nil"/>
          <w:left w:val="nil"/>
          <w:bottom w:val="nil"/>
          <w:right w:val="nil"/>
          <w:between w:val="nil"/>
        </w:pBdr>
        <w:spacing w:line="276" w:lineRule="auto"/>
        <w:ind w:left="1134" w:hanging="357"/>
        <w:jc w:val="both"/>
        <w:rPr>
          <w:rFonts w:ascii="Nexa ligth" w:eastAsia="Nexa ligth" w:hAnsi="Nexa ligth" w:cs="Nexa ligth"/>
          <w:sz w:val="22"/>
          <w:szCs w:val="22"/>
        </w:rPr>
      </w:pPr>
      <w:r>
        <w:rPr>
          <w:rFonts w:ascii="Nexa ligth" w:eastAsia="Nexa ligth" w:hAnsi="Nexa ligth" w:cs="Nexa ligth"/>
          <w:sz w:val="22"/>
          <w:szCs w:val="22"/>
        </w:rPr>
        <w:t>O plano deverá ser protocolado no sistema e-SAC, acompanhado do requerimento de Autorização para Manejo de Fauna Silvestre</w:t>
      </w:r>
      <w:r>
        <w:t xml:space="preserve"> </w:t>
      </w:r>
      <w:r>
        <w:rPr>
          <w:rFonts w:ascii="Nexa ligth" w:eastAsia="Nexa ligth" w:hAnsi="Nexa ligth" w:cs="Nexa ligth"/>
          <w:sz w:val="22"/>
          <w:szCs w:val="22"/>
        </w:rPr>
        <w:t>para resgate e monitoramento de abelhas sem ferrão, em conformidade com o Termo de Referência Padrão específico;</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Antes da supressão da árvore, deverá ser verificada a existência de colmeias de abelha sem ferrão, ninhos ou abrigos de fauna vertebrada. Constatada a presença de ovos e/ou filhotes, o corte deverá ser postergado até que não haja risco à fauna;</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Descrição dos impactos socioeconômicos que poderão ocorr</w:t>
      </w:r>
      <w:r>
        <w:rPr>
          <w:rFonts w:ascii="Nexa ligth" w:eastAsia="Nexa ligth" w:hAnsi="Nexa ligth" w:cs="Nexa ligth"/>
          <w:color w:val="000000"/>
          <w:sz w:val="22"/>
          <w:szCs w:val="22"/>
          <w:highlight w:val="white"/>
        </w:rPr>
        <w:t xml:space="preserve">er durante e após </w:t>
      </w:r>
      <w:r>
        <w:rPr>
          <w:rFonts w:ascii="Nexa ligth" w:eastAsia="Nexa ligth" w:hAnsi="Nexa ligth" w:cs="Nexa ligth"/>
          <w:color w:val="000000"/>
          <w:sz w:val="22"/>
          <w:szCs w:val="22"/>
        </w:rPr>
        <w:t>a supressão da vegetação;</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Avaliar a capacidade da região em disponibilizar mão de obra suficiente e adequada para realização dos trabalhos de supressão de vegetação nativa e do projeto agropecuário;</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Avaliar os fatores de risco à ocorrência de acidentes durante a execução, bem como existência de serviços públicos de saúde, assistência social, entre outros;</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Avaliar a ocorrência de danos ao patrimônio histórico, cultural e arqueológico.</w:t>
      </w:r>
    </w:p>
    <w:p w:rsidR="00040721" w:rsidRDefault="00040721">
      <w:pPr>
        <w:pBdr>
          <w:top w:val="nil"/>
          <w:left w:val="nil"/>
          <w:bottom w:val="nil"/>
          <w:right w:val="nil"/>
          <w:between w:val="nil"/>
        </w:pBdr>
        <w:spacing w:line="276" w:lineRule="auto"/>
        <w:ind w:left="720" w:firstLine="0"/>
        <w:jc w:val="both"/>
        <w:rPr>
          <w:rFonts w:ascii="Nexa ligth" w:eastAsia="Nexa ligth" w:hAnsi="Nexa ligth" w:cs="Nexa ligth"/>
          <w:sz w:val="22"/>
          <w:szCs w:val="22"/>
        </w:rPr>
      </w:pPr>
    </w:p>
    <w:p w:rsidR="00040721" w:rsidRDefault="00E819B4">
      <w:pPr>
        <w:numPr>
          <w:ilvl w:val="1"/>
          <w:numId w:val="25"/>
        </w:numPr>
        <w:pBdr>
          <w:top w:val="nil"/>
          <w:left w:val="nil"/>
          <w:bottom w:val="nil"/>
          <w:right w:val="nil"/>
          <w:between w:val="nil"/>
        </w:pBdr>
        <w:spacing w:line="276" w:lineRule="auto"/>
        <w:ind w:left="709" w:hanging="709"/>
        <w:jc w:val="both"/>
        <w:rPr>
          <w:rFonts w:ascii="Nexa ligth" w:eastAsia="Nexa ligth" w:hAnsi="Nexa ligth" w:cs="Nexa ligth"/>
          <w:sz w:val="22"/>
          <w:szCs w:val="22"/>
        </w:rPr>
      </w:pPr>
      <w:r>
        <w:rPr>
          <w:rFonts w:ascii="Nexa ligth" w:eastAsia="Nexa ligth" w:hAnsi="Nexa ligth" w:cs="Nexa ligth"/>
          <w:b/>
          <w:bCs/>
          <w:sz w:val="22"/>
          <w:szCs w:val="22"/>
        </w:rPr>
        <w:t>Mapas Temáticos Detalhados e Outras Mídias Digitais</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Os produtos cartográficos e as mídias digitais deverão atender aos seguintes requisitos:</w:t>
      </w:r>
    </w:p>
    <w:p w:rsidR="00040721" w:rsidRDefault="00E819B4">
      <w:pPr>
        <w:numPr>
          <w:ilvl w:val="2"/>
          <w:numId w:val="17"/>
        </w:numPr>
        <w:pBdr>
          <w:top w:val="nil"/>
          <w:left w:val="nil"/>
          <w:bottom w:val="nil"/>
          <w:right w:val="nil"/>
          <w:between w:val="nil"/>
        </w:pBdr>
        <w:spacing w:line="276" w:lineRule="auto"/>
        <w:ind w:left="1276" w:hanging="284"/>
        <w:jc w:val="both"/>
        <w:rPr>
          <w:rFonts w:ascii="Nexa ligth" w:eastAsia="Nexa ligth" w:hAnsi="Nexa ligth" w:cs="Nexa ligth"/>
          <w:sz w:val="22"/>
          <w:szCs w:val="22"/>
        </w:rPr>
      </w:pPr>
      <w:r>
        <w:rPr>
          <w:rFonts w:ascii="Nexa ligth" w:eastAsia="Nexa ligth" w:hAnsi="Nexa ligth" w:cs="Nexa ligth"/>
          <w:sz w:val="22"/>
          <w:szCs w:val="22"/>
        </w:rPr>
        <w:t>Georreferenciados ao Sistema Geodésico de Referência SIRGAS 2000;</w:t>
      </w:r>
    </w:p>
    <w:p w:rsidR="00040721" w:rsidRDefault="00E819B4">
      <w:pPr>
        <w:numPr>
          <w:ilvl w:val="2"/>
          <w:numId w:val="17"/>
        </w:numPr>
        <w:pBdr>
          <w:top w:val="nil"/>
          <w:left w:val="nil"/>
          <w:bottom w:val="nil"/>
          <w:right w:val="nil"/>
          <w:between w:val="nil"/>
        </w:pBdr>
        <w:spacing w:line="276" w:lineRule="auto"/>
        <w:ind w:left="1276" w:hanging="284"/>
        <w:jc w:val="both"/>
        <w:rPr>
          <w:rFonts w:ascii="Nexa ligth" w:eastAsia="Nexa ligth" w:hAnsi="Nexa ligth" w:cs="Nexa ligth"/>
          <w:sz w:val="22"/>
          <w:szCs w:val="22"/>
        </w:rPr>
      </w:pPr>
      <w:r>
        <w:rPr>
          <w:rFonts w:ascii="Nexa ligth" w:eastAsia="Nexa ligth" w:hAnsi="Nexa ligth" w:cs="Nexa ligth"/>
          <w:sz w:val="22"/>
          <w:szCs w:val="22"/>
        </w:rPr>
        <w:t>Os dados vetorizados deverão ser georreferenciados considerando coordenadas geográficas com, no mínimo, 03 (três) casas decimais nas frações de segundos;</w:t>
      </w:r>
    </w:p>
    <w:p w:rsidR="00040721" w:rsidRDefault="00E819B4">
      <w:pPr>
        <w:numPr>
          <w:ilvl w:val="2"/>
          <w:numId w:val="17"/>
        </w:numPr>
        <w:pBdr>
          <w:top w:val="nil"/>
          <w:left w:val="nil"/>
          <w:bottom w:val="nil"/>
          <w:right w:val="nil"/>
          <w:between w:val="nil"/>
        </w:pBdr>
        <w:spacing w:line="276" w:lineRule="auto"/>
        <w:ind w:left="1276" w:hanging="284"/>
        <w:jc w:val="both"/>
        <w:rPr>
          <w:rFonts w:ascii="Nexa ligth" w:eastAsia="Nexa ligth" w:hAnsi="Nexa ligth" w:cs="Nexa ligth"/>
          <w:sz w:val="22"/>
          <w:szCs w:val="22"/>
        </w:rPr>
      </w:pPr>
      <w:r>
        <w:rPr>
          <w:rFonts w:ascii="Nexa ligth" w:eastAsia="Nexa ligth" w:hAnsi="Nexa ligth" w:cs="Nexa ligth"/>
          <w:sz w:val="22"/>
          <w:szCs w:val="22"/>
        </w:rPr>
        <w:t>Adotar escala cartográfica igual ou maior que 1:25.000.</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mapas temáticos com a Área de Exploração do Projeto - AEP (via importador – SIMLAM);</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carta-imagem em meio digital (via e-SAC) das feições aprovadas no SIMCAR, bem como de todos os cursos de água e nascentes, áreas de murundus e áreas de uso restrito;</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mapa de solos, conforme classificação oficial do SiBCS;</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mapa compartimentos pedológicos homogêneos;</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Apresentar mapa mapa contendo as parcelas do inventário florestal amostral, indicando, no mínimo, uma coordenada geográfica do início e do fim de cada parcela;</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As planilhas contendo ficha de campo do inventário florestal destinado a obtenção de volume devem ser importadas via – SIMLAM, e via e-SAC as demais informações do serviço de campo realizadas no imóvel rural e nas áreas a serem suprimidas; e</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sz w:val="22"/>
          <w:szCs w:val="22"/>
        </w:rPr>
        <w:t>Dinâmica de desmate em projeto digital via SIMLAM, quando for o caso.</w:t>
      </w:r>
    </w:p>
    <w:p w:rsidR="00040721" w:rsidRDefault="00040721">
      <w:pPr>
        <w:pBdr>
          <w:top w:val="nil"/>
          <w:left w:val="nil"/>
          <w:bottom w:val="nil"/>
          <w:right w:val="nil"/>
          <w:between w:val="nil"/>
        </w:pBdr>
        <w:spacing w:line="276" w:lineRule="auto"/>
        <w:ind w:left="720" w:firstLine="0"/>
        <w:jc w:val="both"/>
        <w:rPr>
          <w:rFonts w:ascii="Nexa ligth" w:eastAsia="Nexa ligth" w:hAnsi="Nexa ligth" w:cs="Nexa ligth"/>
          <w:sz w:val="22"/>
          <w:szCs w:val="22"/>
        </w:rPr>
      </w:pPr>
    </w:p>
    <w:p w:rsidR="00040721" w:rsidRDefault="00E819B4">
      <w:pPr>
        <w:numPr>
          <w:ilvl w:val="1"/>
          <w:numId w:val="25"/>
        </w:numPr>
        <w:pBdr>
          <w:top w:val="nil"/>
          <w:left w:val="nil"/>
          <w:bottom w:val="nil"/>
          <w:right w:val="nil"/>
          <w:between w:val="nil"/>
        </w:pBdr>
        <w:spacing w:line="276" w:lineRule="auto"/>
        <w:ind w:left="709" w:hanging="709"/>
        <w:jc w:val="both"/>
        <w:rPr>
          <w:rFonts w:ascii="Nexa ligth" w:eastAsia="Nexa ligth" w:hAnsi="Nexa ligth" w:cs="Nexa ligth"/>
          <w:color w:val="000000"/>
          <w:sz w:val="22"/>
          <w:szCs w:val="22"/>
        </w:rPr>
      </w:pPr>
      <w:r>
        <w:rPr>
          <w:rFonts w:ascii="Nexa ligth" w:eastAsia="Nexa ligth" w:hAnsi="Nexa ligth" w:cs="Nexa ligth"/>
          <w:b/>
          <w:bCs/>
          <w:color w:val="000000"/>
          <w:sz w:val="22"/>
          <w:szCs w:val="22"/>
        </w:rPr>
        <w:t xml:space="preserve">Inventário Florestal 100% ou Censo, para Exploração Comercial de </w:t>
      </w:r>
      <w:r>
        <w:rPr>
          <w:rFonts w:ascii="Nexa ligth" w:eastAsia="Nexa ligth" w:hAnsi="Nexa ligth" w:cs="Nexa ligth"/>
          <w:b/>
          <w:bCs/>
          <w:color w:val="000000"/>
          <w:sz w:val="22"/>
          <w:szCs w:val="22"/>
          <w:u w:val="single"/>
        </w:rPr>
        <w:t>Toras</w:t>
      </w:r>
      <w:r>
        <w:rPr>
          <w:rFonts w:ascii="Nexa ligth" w:eastAsia="Nexa ligth" w:hAnsi="Nexa ligth" w:cs="Nexa ligth"/>
          <w:b/>
          <w:bCs/>
          <w:color w:val="000000"/>
          <w:sz w:val="22"/>
          <w:szCs w:val="22"/>
        </w:rPr>
        <w:t>.</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 xml:space="preserve">Encaminhar o inventário florestal via projeto digital SIMLAM. O inventário deverá ser realizado de forma sequencial aplicando o método de inventário contínuo, no qual cada árvore deve corresponder a um único número que a identificará; </w:t>
      </w: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b/>
          <w:bCs/>
          <w:color w:val="000000"/>
          <w:sz w:val="22"/>
          <w:szCs w:val="22"/>
        </w:rPr>
        <w:t>Planejamento do inventário florestal:</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Informar equipamentos e métodos utilizados nas medições do CAP, altura, cubagem e cálculos do volume comercial com casca e sem casca;</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Aferição do DAP em centímetros e da altura em metros de todas as toras, incluindo as espécies CITES, Vulneráveis e Proibidas de Corte;</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Fixação da placa de identificação, confeccionada em material rígido e durável, a 1,30 m (DAP) do solo, sempre que possível;</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Registro de coordenadas geográficas da árvore, com tolerância máxima de 20 m de deslocamento;</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O fator de forma deverá ser informado. Caso seja diferente de 0,7, deverão ser apresentados os dados e métodos que fundamentam o valor;</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A porcentagem de desconto da casca deverá ser informada. Caso seja diferente de 10%, deverão ser apresentados os dados e procedimentos que fundamentam o valor;</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Identificação das espécies a serem exploradas por seu nome científico completo (gênero e espécie), vedado o uso de sinônimos;</w:t>
      </w:r>
    </w:p>
    <w:p w:rsidR="00040721" w:rsidRDefault="00E819B4">
      <w:pPr>
        <w:numPr>
          <w:ilvl w:val="2"/>
          <w:numId w:val="6"/>
        </w:numPr>
        <w:pBdr>
          <w:top w:val="nil"/>
          <w:left w:val="nil"/>
          <w:bottom w:val="nil"/>
          <w:right w:val="nil"/>
          <w:between w:val="nil"/>
        </w:pBdr>
        <w:spacing w:line="276" w:lineRule="auto"/>
        <w:ind w:left="1158" w:hanging="438"/>
        <w:jc w:val="both"/>
        <w:rPr>
          <w:rFonts w:ascii="Nexa ligth" w:eastAsia="Nexa ligth" w:hAnsi="Nexa ligth" w:cs="Nexa ligth"/>
          <w:sz w:val="22"/>
          <w:szCs w:val="22"/>
        </w:rPr>
      </w:pPr>
      <w:r>
        <w:rPr>
          <w:rFonts w:ascii="Nexa ligth" w:eastAsia="Nexa ligth" w:hAnsi="Nexa ligth" w:cs="Nexa ligth"/>
          <w:sz w:val="22"/>
          <w:szCs w:val="22"/>
        </w:rPr>
        <w:t>Deverá haver a demarcação das árvores comerciais a serem ABATIDAS e daquelas PROIBIDAS DE CORTE.</w:t>
      </w:r>
    </w:p>
    <w:p w:rsidR="00040721" w:rsidRDefault="00040721">
      <w:pPr>
        <w:pBdr>
          <w:top w:val="nil"/>
          <w:left w:val="nil"/>
          <w:bottom w:val="nil"/>
          <w:right w:val="nil"/>
          <w:between w:val="nil"/>
        </w:pBdr>
        <w:spacing w:line="276" w:lineRule="auto"/>
        <w:ind w:left="720" w:firstLine="0"/>
        <w:jc w:val="both"/>
        <w:rPr>
          <w:rFonts w:ascii="Nexa ligth" w:eastAsia="Nexa ligth" w:hAnsi="Nexa ligth" w:cs="Nexa ligth"/>
          <w:b/>
          <w:bCs/>
          <w:color w:val="000000"/>
          <w:sz w:val="22"/>
          <w:szCs w:val="22"/>
        </w:rPr>
      </w:pPr>
    </w:p>
    <w:p w:rsidR="00040721" w:rsidRDefault="00E819B4">
      <w:pPr>
        <w:numPr>
          <w:ilvl w:val="2"/>
          <w:numId w:val="25"/>
        </w:numPr>
        <w:pBdr>
          <w:top w:val="nil"/>
          <w:left w:val="nil"/>
          <w:bottom w:val="nil"/>
          <w:right w:val="nil"/>
          <w:between w:val="nil"/>
        </w:pBdr>
        <w:spacing w:line="276" w:lineRule="auto"/>
        <w:jc w:val="both"/>
        <w:rPr>
          <w:rFonts w:ascii="Nexa ligth" w:eastAsia="Nexa ligth" w:hAnsi="Nexa ligth" w:cs="Nexa ligth"/>
          <w:color w:val="000000"/>
          <w:sz w:val="22"/>
          <w:szCs w:val="22"/>
        </w:rPr>
      </w:pPr>
      <w:r>
        <w:rPr>
          <w:rFonts w:ascii="Nexa ligth" w:eastAsia="Nexa ligth" w:hAnsi="Nexa ligth" w:cs="Nexa ligth"/>
          <w:b/>
          <w:bCs/>
          <w:color w:val="000000"/>
          <w:sz w:val="22"/>
          <w:szCs w:val="22"/>
        </w:rPr>
        <w:t>Resultados do Inventário 100%:</w:t>
      </w:r>
    </w:p>
    <w:p w:rsidR="00040721" w:rsidRDefault="00E819B4">
      <w:pPr>
        <w:numPr>
          <w:ilvl w:val="2"/>
          <w:numId w:val="13"/>
        </w:numPr>
        <w:pBdr>
          <w:top w:val="nil"/>
          <w:left w:val="nil"/>
          <w:bottom w:val="nil"/>
          <w:right w:val="nil"/>
          <w:between w:val="nil"/>
        </w:pBdr>
        <w:spacing w:line="276" w:lineRule="auto"/>
        <w:ind w:left="1134" w:hanging="425"/>
        <w:jc w:val="both"/>
        <w:rPr>
          <w:rFonts w:ascii="Nexa ligth" w:eastAsia="Nexa ligth" w:hAnsi="Nexa ligth" w:cs="Nexa ligth"/>
          <w:sz w:val="22"/>
          <w:szCs w:val="22"/>
        </w:rPr>
      </w:pPr>
      <w:r>
        <w:rPr>
          <w:rFonts w:ascii="Nexa ligth" w:eastAsia="Nexa ligth" w:hAnsi="Nexa ligth" w:cs="Nexa ligth"/>
          <w:sz w:val="22"/>
          <w:szCs w:val="22"/>
        </w:rPr>
        <w:t>Quadro geral das espécies encontradas;</w:t>
      </w:r>
    </w:p>
    <w:p w:rsidR="00040721" w:rsidRDefault="00E819B4">
      <w:pPr>
        <w:numPr>
          <w:ilvl w:val="2"/>
          <w:numId w:val="13"/>
        </w:numPr>
        <w:pBdr>
          <w:top w:val="nil"/>
          <w:left w:val="nil"/>
          <w:bottom w:val="nil"/>
          <w:right w:val="nil"/>
          <w:between w:val="nil"/>
        </w:pBdr>
        <w:spacing w:line="276" w:lineRule="auto"/>
        <w:ind w:left="1134" w:hanging="425"/>
        <w:jc w:val="both"/>
        <w:rPr>
          <w:rFonts w:ascii="Nexa ligth" w:eastAsia="Nexa ligth" w:hAnsi="Nexa ligth" w:cs="Nexa ligth"/>
          <w:sz w:val="22"/>
          <w:szCs w:val="22"/>
        </w:rPr>
      </w:pPr>
      <w:r>
        <w:rPr>
          <w:rFonts w:ascii="Nexa ligth" w:eastAsia="Nexa ligth" w:hAnsi="Nexa ligth" w:cs="Nexa ligth"/>
          <w:sz w:val="22"/>
          <w:szCs w:val="22"/>
        </w:rPr>
        <w:t>Quadro geral do volume COM e SEM CASCA (por hectare e por área) das espécies comerciais (Anexo I);</w:t>
      </w:r>
    </w:p>
    <w:p w:rsidR="00040721" w:rsidRDefault="00E819B4">
      <w:pPr>
        <w:numPr>
          <w:ilvl w:val="2"/>
          <w:numId w:val="13"/>
        </w:numPr>
        <w:pBdr>
          <w:top w:val="nil"/>
          <w:left w:val="nil"/>
          <w:bottom w:val="nil"/>
          <w:right w:val="nil"/>
          <w:between w:val="nil"/>
        </w:pBdr>
        <w:spacing w:line="276" w:lineRule="auto"/>
        <w:ind w:left="1134" w:hanging="425"/>
        <w:jc w:val="both"/>
        <w:rPr>
          <w:rFonts w:ascii="Nexa ligth" w:eastAsia="Nexa ligth" w:hAnsi="Nexa ligth" w:cs="Nexa ligth"/>
          <w:sz w:val="22"/>
          <w:szCs w:val="22"/>
        </w:rPr>
      </w:pPr>
      <w:r>
        <w:rPr>
          <w:rFonts w:ascii="Nexa ligth" w:eastAsia="Nexa ligth" w:hAnsi="Nexa ligth" w:cs="Nexa ligth"/>
          <w:sz w:val="22"/>
          <w:szCs w:val="22"/>
        </w:rPr>
        <w:t>Relatório de frequência, dominância, abundância, IVI e demais parâmetros relevantes, em gráficos e tabelas;</w:t>
      </w:r>
    </w:p>
    <w:p w:rsidR="00040721" w:rsidRDefault="00E819B4">
      <w:pPr>
        <w:numPr>
          <w:ilvl w:val="2"/>
          <w:numId w:val="13"/>
        </w:numPr>
        <w:pBdr>
          <w:top w:val="nil"/>
          <w:left w:val="nil"/>
          <w:bottom w:val="nil"/>
          <w:right w:val="nil"/>
          <w:between w:val="nil"/>
        </w:pBdr>
        <w:spacing w:line="276" w:lineRule="auto"/>
        <w:ind w:left="1134" w:hanging="425"/>
        <w:jc w:val="both"/>
        <w:rPr>
          <w:rFonts w:ascii="Nexa ligth" w:eastAsia="Nexa ligth" w:hAnsi="Nexa ligth" w:cs="Nexa ligth"/>
          <w:sz w:val="22"/>
          <w:szCs w:val="22"/>
        </w:rPr>
      </w:pPr>
      <w:r>
        <w:rPr>
          <w:rFonts w:ascii="Nexa ligth" w:eastAsia="Nexa ligth" w:hAnsi="Nexa ligth" w:cs="Nexa ligth"/>
          <w:sz w:val="22"/>
          <w:szCs w:val="22"/>
        </w:rPr>
        <w:t>O diâmetro mínimo de exploração de toras em Planos de Exploração Florestal será de DAP ≥ 45 cm. Se houver a exploração de indivíduos com diâmetros entre 30 a 45 cm deverá ser apresentado Laudo Técnico justificando o aproveitamento para cada espécie, informando o consumidor da matéria prima e os equipamentos que o mesmo utilizará para o beneficiamento dos indivíduos dessas dimensões;</w:t>
      </w:r>
    </w:p>
    <w:p w:rsidR="00040721" w:rsidRDefault="00E819B4">
      <w:pPr>
        <w:numPr>
          <w:ilvl w:val="2"/>
          <w:numId w:val="13"/>
        </w:numPr>
        <w:pBdr>
          <w:top w:val="nil"/>
          <w:left w:val="nil"/>
          <w:bottom w:val="nil"/>
          <w:right w:val="nil"/>
          <w:between w:val="nil"/>
        </w:pBdr>
        <w:spacing w:line="276" w:lineRule="auto"/>
        <w:ind w:left="1134" w:hanging="425"/>
        <w:jc w:val="both"/>
        <w:rPr>
          <w:rFonts w:ascii="Nexa ligth" w:eastAsia="Nexa ligth" w:hAnsi="Nexa ligth" w:cs="Nexa ligth"/>
          <w:sz w:val="22"/>
          <w:szCs w:val="22"/>
        </w:rPr>
      </w:pPr>
      <w:r>
        <w:rPr>
          <w:rFonts w:ascii="Nexa ligth" w:eastAsia="Nexa ligth" w:hAnsi="Nexa ligth" w:cs="Nexa ligth"/>
          <w:sz w:val="22"/>
          <w:szCs w:val="22"/>
        </w:rPr>
        <w:t>Deverá ser apresentado mapa exploratório contendo as árvores a serem abatidas, as proibidas de corte e o microzoneamento da área a ser suprimida; e</w:t>
      </w:r>
    </w:p>
    <w:p w:rsidR="00040721" w:rsidRDefault="00E819B4">
      <w:pPr>
        <w:numPr>
          <w:ilvl w:val="2"/>
          <w:numId w:val="13"/>
        </w:numPr>
        <w:pBdr>
          <w:top w:val="nil"/>
          <w:left w:val="nil"/>
          <w:bottom w:val="nil"/>
          <w:right w:val="nil"/>
          <w:between w:val="nil"/>
        </w:pBdr>
        <w:spacing w:line="276" w:lineRule="auto"/>
        <w:ind w:left="1134" w:hanging="425"/>
        <w:jc w:val="both"/>
        <w:rPr>
          <w:rFonts w:ascii="Nexa ligth" w:eastAsia="Nexa ligth" w:hAnsi="Nexa ligth" w:cs="Nexa ligth"/>
          <w:sz w:val="22"/>
          <w:szCs w:val="22"/>
        </w:rPr>
      </w:pPr>
      <w:r>
        <w:rPr>
          <w:rFonts w:ascii="Nexa ligth" w:eastAsia="Nexa ligth" w:hAnsi="Nexa ligth" w:cs="Nexa ligth"/>
          <w:sz w:val="22"/>
          <w:szCs w:val="22"/>
        </w:rPr>
        <w:t>Deverá descrever todos os procedimentos da rastreabilidade da madeira, desde o abate até a serraria.</w:t>
      </w:r>
    </w:p>
    <w:p w:rsidR="00040721" w:rsidRDefault="00040721">
      <w:pPr>
        <w:pBdr>
          <w:top w:val="nil"/>
          <w:left w:val="nil"/>
          <w:bottom w:val="nil"/>
          <w:right w:val="nil"/>
          <w:between w:val="nil"/>
        </w:pBdr>
        <w:ind w:left="720" w:firstLine="0"/>
        <w:rPr>
          <w:rFonts w:ascii="Nexa ligth" w:eastAsia="Nexa ligth" w:hAnsi="Nexa ligth" w:cs="Nexa ligth"/>
          <w:color w:val="000000"/>
          <w:sz w:val="22"/>
          <w:szCs w:val="22"/>
        </w:rPr>
      </w:pPr>
    </w:p>
    <w:p w:rsidR="00040721" w:rsidRDefault="00E819B4">
      <w:pPr>
        <w:pBdr>
          <w:top w:val="nil"/>
          <w:left w:val="nil"/>
          <w:bottom w:val="nil"/>
          <w:right w:val="nil"/>
          <w:between w:val="nil"/>
        </w:pBdr>
        <w:spacing w:line="276" w:lineRule="auto"/>
        <w:ind w:hanging="2"/>
        <w:jc w:val="both"/>
        <w:rPr>
          <w:rFonts w:ascii="Nexa ligth" w:eastAsia="Nexa ligth" w:hAnsi="Nexa ligth" w:cs="Nexa ligth"/>
          <w:b/>
          <w:bCs/>
          <w:sz w:val="22"/>
          <w:szCs w:val="22"/>
        </w:rPr>
      </w:pPr>
      <w:r>
        <w:rPr>
          <w:rFonts w:ascii="Nexa ligth" w:eastAsia="Nexa ligth" w:hAnsi="Nexa ligth" w:cs="Nexa ligth"/>
          <w:b/>
          <w:bCs/>
          <w:sz w:val="22"/>
          <w:szCs w:val="22"/>
        </w:rPr>
        <w:t xml:space="preserve"> 2.6 </w:t>
      </w:r>
      <w:r>
        <w:rPr>
          <w:rFonts w:ascii="Nexa ligth" w:eastAsia="Nexa ligth" w:hAnsi="Nexa ligth" w:cs="Nexa ligth"/>
          <w:b/>
          <w:bCs/>
          <w:sz w:val="22"/>
          <w:szCs w:val="22"/>
        </w:rPr>
        <w:tab/>
        <w:t xml:space="preserve">Inventário Florestal Amostral com Erro de até 10% e 95% de Probabilidade, para Exploração da </w:t>
      </w:r>
      <w:r>
        <w:rPr>
          <w:rFonts w:ascii="Nexa ligth" w:eastAsia="Nexa ligth" w:hAnsi="Nexa ligth" w:cs="Nexa ligth"/>
          <w:b/>
          <w:bCs/>
          <w:sz w:val="22"/>
          <w:szCs w:val="22"/>
          <w:u w:val="single"/>
        </w:rPr>
        <w:t>Lenha</w:t>
      </w:r>
      <w:r>
        <w:rPr>
          <w:rFonts w:ascii="Nexa ligth" w:eastAsia="Nexa ligth" w:hAnsi="Nexa ligth" w:cs="Nexa ligth"/>
          <w:b/>
          <w:bCs/>
          <w:sz w:val="22"/>
          <w:szCs w:val="22"/>
        </w:rPr>
        <w:t>.</w:t>
      </w:r>
    </w:p>
    <w:p w:rsidR="00040721" w:rsidRDefault="00E819B4">
      <w:pPr>
        <w:numPr>
          <w:ilvl w:val="2"/>
          <w:numId w:val="21"/>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color w:val="000000"/>
          <w:sz w:val="22"/>
          <w:szCs w:val="22"/>
        </w:rPr>
        <w:t>Encaminhar Inventário Florestal via projeto digital SIMLAM;</w:t>
      </w:r>
    </w:p>
    <w:p w:rsidR="00040721" w:rsidRDefault="00E819B4">
      <w:pPr>
        <w:numPr>
          <w:ilvl w:val="2"/>
          <w:numId w:val="21"/>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color w:val="000000"/>
          <w:sz w:val="22"/>
          <w:szCs w:val="22"/>
        </w:rPr>
        <w:t>O Inventário Florestal Amostral deverá contemplar os seguintes aspectos metodológicos:</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Elaboração de mapa temático da área objeto do estudo, utilizando imagens de satélite atualizadas e vetorização das diferentes tipologias vegetacionais existentes;</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Definição do método de amostragem a ser adotado;</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Descrição dos parâmetros dendrométricos e florísticos a serem medidos e avaliados;</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Definição do tamanho e da forma das unidades amostrais, admitindo-se parcelas de 10 m x 100 m ou 10 m x 250 m;</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Determinação da intensidade amostral necessária para garantir a representatividade estatística do inventário;</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Descrição dos procedimentos de campo e dos métodos utilizados para obtenção das estimativas de volume;</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Apresentação dos procedimentos e cálculos estatísticos utilizados;</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Para fins de estimativa da produção de lenha, deverão ser considerados apenas os indivíduos arbóreos com diâmetro à altura do peito (DAP) ≥ 15 cm. A inclusão de indivíduos com DAP inferior a esse limite somente será admitida mediante justificativa técnica fundamentada;</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Método utilizado para cálculo de estimativas de volume;</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Fator de forma diferente de 0,7 deverá ser justificado;</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O percentual de desconto de casca utilizado nas estimativas deverá ser explicitamente informado, e quando adotado valor diferente de 10%, deverão ser apresentados os estudos, os dados de campo e o procedimento metodológico que fundamentaram sua utilização;</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Fator de conversão de “m</w:t>
      </w:r>
      <w:r>
        <w:rPr>
          <w:rFonts w:ascii="Nexa ligth" w:eastAsia="Nexa ligth" w:hAnsi="Nexa ligth" w:cs="Nexa ligth"/>
          <w:color w:val="000000"/>
          <w:sz w:val="22"/>
          <w:szCs w:val="22"/>
          <w:vertAlign w:val="superscript"/>
        </w:rPr>
        <w:t>3</w:t>
      </w:r>
      <w:r>
        <w:rPr>
          <w:rFonts w:ascii="Nexa ligth" w:eastAsia="Nexa ligth" w:hAnsi="Nexa ligth" w:cs="Nexa ligth"/>
          <w:color w:val="000000"/>
          <w:sz w:val="22"/>
          <w:szCs w:val="22"/>
        </w:rPr>
        <w:t>” para “St” será de 1,3 (conforme Decreto 1.375/2008);</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As espécies a serem exploradas deverão ser identificadas, no mínimo, em nível de gênero. Os indivíduos não identificados serão contabilizados como erro de identificação botânica, não sendo admitido percentual superior a 20% em relação ao total de indivíduos amostrados;</w:t>
      </w:r>
    </w:p>
    <w:p w:rsidR="00040721" w:rsidRDefault="00E819B4">
      <w:pPr>
        <w:numPr>
          <w:ilvl w:val="2"/>
          <w:numId w:val="23"/>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O Responsável Técnico deverá demarcar “in loco” as unidades amostrais do inventário florestal realizado, de modo a possibilitar a sua localização e conferência; e</w:t>
      </w:r>
    </w:p>
    <w:p w:rsidR="00040721" w:rsidRDefault="00040721">
      <w:pPr>
        <w:pBdr>
          <w:top w:val="nil"/>
          <w:left w:val="nil"/>
          <w:bottom w:val="nil"/>
          <w:right w:val="nil"/>
          <w:between w:val="nil"/>
        </w:pBdr>
        <w:spacing w:line="276" w:lineRule="auto"/>
        <w:ind w:left="1429" w:firstLine="0"/>
        <w:jc w:val="both"/>
        <w:rPr>
          <w:rFonts w:ascii="Nexa ligth" w:eastAsia="Nexa ligth" w:hAnsi="Nexa ligth" w:cs="Nexa ligth"/>
          <w:color w:val="000000"/>
          <w:sz w:val="22"/>
          <w:szCs w:val="22"/>
        </w:rPr>
      </w:pPr>
    </w:p>
    <w:p w:rsidR="00040721" w:rsidRDefault="00040721">
      <w:pPr>
        <w:pBdr>
          <w:top w:val="nil"/>
          <w:left w:val="nil"/>
          <w:bottom w:val="nil"/>
          <w:right w:val="nil"/>
          <w:between w:val="nil"/>
        </w:pBdr>
        <w:spacing w:line="276" w:lineRule="auto"/>
        <w:ind w:left="709" w:firstLine="0"/>
        <w:jc w:val="both"/>
        <w:rPr>
          <w:rFonts w:ascii="Nexa ligth" w:eastAsia="Nexa ligth" w:hAnsi="Nexa ligth" w:cs="Nexa ligth"/>
          <w:color w:val="000000"/>
          <w:sz w:val="22"/>
          <w:szCs w:val="22"/>
        </w:rPr>
      </w:pPr>
    </w:p>
    <w:p w:rsidR="00040721" w:rsidRDefault="00E819B4">
      <w:pPr>
        <w:numPr>
          <w:ilvl w:val="2"/>
          <w:numId w:val="21"/>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b/>
          <w:bCs/>
          <w:color w:val="000000"/>
          <w:sz w:val="22"/>
          <w:szCs w:val="22"/>
        </w:rPr>
        <w:t>O Relatório Estatístico do Inventário Florestal Amostral deverá apresentar:</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Estimativa da média volumétrica por unidade amostral e por hectare, expressa em metros cúbicos (m³) e estéreos (st);</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Estimativa do volume total da população inventariada, expressa em m³ e st;</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Volume médio por hectare e volume total da área objeto do Plano de Exploração Florestal;</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Cálculo da variância amostral;</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Cálculo do desvio-padrão;</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Valor de "t" de Student para 95% de probabilidade;</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Cálculo do erro-padrão da média;</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Cálculo do coeficiente de variação;</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Demonstração do atendimento ao erro máximo admissível de 10%, ao nível de 95% de probabilidade;</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Apresentação do erro de amostragem efetivamente obtido;</w:t>
      </w:r>
    </w:p>
    <w:p w:rsidR="00040721" w:rsidRDefault="00E819B4">
      <w:pPr>
        <w:numPr>
          <w:ilvl w:val="1"/>
          <w:numId w:val="15"/>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Determinação dos respectivos intervalos de confiança;</w:t>
      </w:r>
    </w:p>
    <w:p w:rsidR="00040721" w:rsidRDefault="00040721">
      <w:pPr>
        <w:pBdr>
          <w:top w:val="nil"/>
          <w:left w:val="nil"/>
          <w:bottom w:val="nil"/>
          <w:right w:val="nil"/>
          <w:between w:val="nil"/>
        </w:pBdr>
        <w:spacing w:line="276" w:lineRule="auto"/>
        <w:ind w:left="1429" w:firstLine="0"/>
        <w:jc w:val="both"/>
        <w:rPr>
          <w:rFonts w:ascii="Nexa ligth" w:eastAsia="Nexa ligth" w:hAnsi="Nexa ligth" w:cs="Nexa ligth"/>
          <w:color w:val="000000"/>
          <w:sz w:val="22"/>
          <w:szCs w:val="22"/>
        </w:rPr>
      </w:pPr>
    </w:p>
    <w:p w:rsidR="00040721" w:rsidRDefault="00E819B4">
      <w:pPr>
        <w:numPr>
          <w:ilvl w:val="2"/>
          <w:numId w:val="21"/>
        </w:numPr>
        <w:pBdr>
          <w:top w:val="nil"/>
          <w:left w:val="nil"/>
          <w:bottom w:val="nil"/>
          <w:right w:val="nil"/>
          <w:between w:val="nil"/>
        </w:pBdr>
        <w:spacing w:line="276" w:lineRule="auto"/>
        <w:ind w:left="709" w:hanging="711"/>
        <w:jc w:val="both"/>
        <w:rPr>
          <w:rFonts w:ascii="Nexa ligth" w:eastAsia="Nexa ligth" w:hAnsi="Nexa ligth" w:cs="Nexa ligth"/>
          <w:sz w:val="22"/>
          <w:szCs w:val="22"/>
        </w:rPr>
      </w:pPr>
      <w:r>
        <w:rPr>
          <w:rFonts w:ascii="Nexa ligth" w:eastAsia="Nexa ligth" w:hAnsi="Nexa ligth" w:cs="Nexa ligth"/>
          <w:b/>
          <w:bCs/>
          <w:color w:val="000000"/>
          <w:sz w:val="22"/>
          <w:szCs w:val="22"/>
        </w:rPr>
        <w:t>Resultados do Inventário das Amostras:</w:t>
      </w:r>
    </w:p>
    <w:p w:rsidR="00040721" w:rsidRDefault="00E819B4">
      <w:pPr>
        <w:numPr>
          <w:ilvl w:val="2"/>
          <w:numId w:val="24"/>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Quadro geral do volume contendo a relação das espécies;</w:t>
      </w:r>
    </w:p>
    <w:p w:rsidR="00040721" w:rsidRDefault="00E819B4">
      <w:pPr>
        <w:numPr>
          <w:ilvl w:val="2"/>
          <w:numId w:val="24"/>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 xml:space="preserve">Quadro geral do volume por espécie/ha/área (Anexo II); </w:t>
      </w:r>
    </w:p>
    <w:p w:rsidR="00040721" w:rsidRDefault="00E819B4">
      <w:pPr>
        <w:numPr>
          <w:ilvl w:val="2"/>
          <w:numId w:val="24"/>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Relatório contendo tabela com os valores médios de: CAP e DAP, área basal, altura, densidade de árvores por hectare, volume em m³ e em st por parcela, por hectare e volume total;</w:t>
      </w:r>
    </w:p>
    <w:p w:rsidR="00040721" w:rsidRDefault="00E819B4">
      <w:pPr>
        <w:numPr>
          <w:ilvl w:val="2"/>
          <w:numId w:val="24"/>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Relatório de frequência, dominância, abundância, IVI e demais parâmetros relevantes, em gráficos e tabelas; e</w:t>
      </w:r>
    </w:p>
    <w:p w:rsidR="00040721" w:rsidRDefault="00E819B4">
      <w:pPr>
        <w:numPr>
          <w:ilvl w:val="2"/>
          <w:numId w:val="24"/>
        </w:numPr>
        <w:pBdr>
          <w:top w:val="nil"/>
          <w:left w:val="nil"/>
          <w:bottom w:val="nil"/>
          <w:right w:val="nil"/>
          <w:between w:val="nil"/>
        </w:pBdr>
        <w:spacing w:line="276" w:lineRule="auto"/>
        <w:ind w:left="1134" w:hanging="425"/>
        <w:jc w:val="both"/>
        <w:rPr>
          <w:color w:val="000000"/>
          <w:sz w:val="22"/>
          <w:szCs w:val="22"/>
        </w:rPr>
      </w:pPr>
      <w:r>
        <w:rPr>
          <w:rFonts w:ascii="Nexa ligth" w:eastAsia="Nexa ligth" w:hAnsi="Nexa ligth" w:cs="Nexa ligth"/>
          <w:color w:val="000000"/>
          <w:sz w:val="22"/>
          <w:szCs w:val="22"/>
        </w:rPr>
        <w:t>Croqui com localização das amostras.</w:t>
      </w: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E819B4">
      <w:pPr>
        <w:numPr>
          <w:ilvl w:val="1"/>
          <w:numId w:val="21"/>
        </w:numPr>
        <w:pBdr>
          <w:top w:val="nil"/>
          <w:left w:val="nil"/>
          <w:bottom w:val="nil"/>
          <w:right w:val="nil"/>
          <w:between w:val="nil"/>
        </w:pBdr>
        <w:spacing w:line="276" w:lineRule="auto"/>
        <w:ind w:left="709" w:hanging="710"/>
        <w:jc w:val="both"/>
        <w:rPr>
          <w:rFonts w:ascii="Nexa ligth" w:eastAsia="Nexa ligth" w:hAnsi="Nexa ligth" w:cs="Nexa ligth"/>
          <w:sz w:val="22"/>
          <w:szCs w:val="22"/>
        </w:rPr>
      </w:pPr>
      <w:r>
        <w:rPr>
          <w:rFonts w:ascii="Nexa ligth" w:eastAsia="Nexa ligth" w:hAnsi="Nexa ligth" w:cs="Nexa ligth"/>
          <w:b/>
          <w:bCs/>
          <w:color w:val="000000"/>
          <w:sz w:val="22"/>
          <w:szCs w:val="22"/>
        </w:rPr>
        <w:t xml:space="preserve">Inventário Florestal 0,1 a 0,2 % da Área Total do Projeto, </w:t>
      </w:r>
      <w:r>
        <w:rPr>
          <w:rFonts w:ascii="Nexa ligth" w:eastAsia="Nexa ligth" w:hAnsi="Nexa ligth" w:cs="Nexa ligth"/>
          <w:b/>
          <w:bCs/>
          <w:color w:val="000000"/>
          <w:sz w:val="22"/>
          <w:szCs w:val="22"/>
          <w:u w:val="single"/>
        </w:rPr>
        <w:t>Sem Destinação Comercial.</w:t>
      </w:r>
      <w:r>
        <w:rPr>
          <w:rFonts w:ascii="Nexa ligth" w:eastAsia="Nexa ligth" w:hAnsi="Nexa ligth" w:cs="Nexa ligth"/>
          <w:b/>
          <w:bCs/>
          <w:color w:val="000000"/>
          <w:sz w:val="22"/>
          <w:szCs w:val="22"/>
        </w:rPr>
        <w:t xml:space="preserve"> </w:t>
      </w:r>
    </w:p>
    <w:p w:rsidR="00040721" w:rsidRDefault="00E819B4">
      <w:pPr>
        <w:numPr>
          <w:ilvl w:val="2"/>
          <w:numId w:val="21"/>
        </w:numPr>
        <w:pBdr>
          <w:top w:val="nil"/>
          <w:left w:val="nil"/>
          <w:bottom w:val="nil"/>
          <w:right w:val="nil"/>
          <w:between w:val="nil"/>
        </w:pBdr>
        <w:spacing w:line="276" w:lineRule="auto"/>
        <w:ind w:left="0" w:firstLine="0"/>
        <w:jc w:val="both"/>
        <w:rPr>
          <w:rFonts w:ascii="Nexa ligth" w:eastAsia="Nexa ligth" w:hAnsi="Nexa ligth" w:cs="Nexa ligth"/>
          <w:sz w:val="22"/>
          <w:szCs w:val="22"/>
        </w:rPr>
      </w:pPr>
      <w:r>
        <w:rPr>
          <w:rFonts w:ascii="Nexa ligth" w:eastAsia="Nexa ligth" w:hAnsi="Nexa ligth" w:cs="Nexa ligth"/>
          <w:color w:val="000000"/>
          <w:sz w:val="22"/>
          <w:szCs w:val="22"/>
        </w:rPr>
        <w:t>Encaminhar Inventário Florestal via projeto digital SIMLAM;</w:t>
      </w:r>
    </w:p>
    <w:p w:rsidR="00040721" w:rsidRDefault="00E819B4">
      <w:pPr>
        <w:numPr>
          <w:ilvl w:val="2"/>
          <w:numId w:val="21"/>
        </w:numPr>
        <w:pBdr>
          <w:top w:val="nil"/>
          <w:left w:val="nil"/>
          <w:bottom w:val="nil"/>
          <w:right w:val="nil"/>
          <w:between w:val="nil"/>
        </w:pBdr>
        <w:spacing w:line="276" w:lineRule="auto"/>
        <w:ind w:left="0" w:firstLine="0"/>
        <w:jc w:val="both"/>
        <w:rPr>
          <w:rFonts w:ascii="Nexa ligth" w:eastAsia="Nexa ligth" w:hAnsi="Nexa ligth" w:cs="Nexa ligth"/>
          <w:sz w:val="22"/>
          <w:szCs w:val="22"/>
        </w:rPr>
      </w:pPr>
      <w:r>
        <w:rPr>
          <w:rFonts w:ascii="Nexa ligth" w:eastAsia="Nexa ligth" w:hAnsi="Nexa ligth" w:cs="Nexa ligth"/>
          <w:b/>
          <w:bCs/>
          <w:color w:val="000000"/>
          <w:sz w:val="22"/>
          <w:szCs w:val="22"/>
        </w:rPr>
        <w:t>Planejamento do inventário:</w:t>
      </w:r>
    </w:p>
    <w:p w:rsidR="00040721" w:rsidRDefault="00E819B4">
      <w:pPr>
        <w:numPr>
          <w:ilvl w:val="0"/>
          <w:numId w:val="26"/>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O método de amostragem deve ser de modo aleatório ou sistemático;</w:t>
      </w:r>
    </w:p>
    <w:p w:rsidR="00040721" w:rsidRDefault="00E819B4">
      <w:pPr>
        <w:numPr>
          <w:ilvl w:val="0"/>
          <w:numId w:val="26"/>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Tamanho e forma das unidades amostrais (10x100 m ou 10x250 m);</w:t>
      </w:r>
    </w:p>
    <w:p w:rsidR="00040721" w:rsidRDefault="00E819B4">
      <w:pPr>
        <w:numPr>
          <w:ilvl w:val="0"/>
          <w:numId w:val="26"/>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Croqui com a localização das amostras;</w:t>
      </w:r>
    </w:p>
    <w:p w:rsidR="00040721" w:rsidRDefault="00E819B4">
      <w:pPr>
        <w:numPr>
          <w:ilvl w:val="0"/>
          <w:numId w:val="26"/>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As planilhas contendo ficha de campo do inventário florestal devem ser enviadas via –e-SAC;</w:t>
      </w:r>
    </w:p>
    <w:p w:rsidR="00040721" w:rsidRDefault="00E819B4">
      <w:pPr>
        <w:numPr>
          <w:ilvl w:val="0"/>
          <w:numId w:val="26"/>
        </w:numPr>
        <w:pBdr>
          <w:top w:val="nil"/>
          <w:left w:val="nil"/>
          <w:bottom w:val="nil"/>
          <w:right w:val="nil"/>
          <w:between w:val="nil"/>
        </w:pBdr>
        <w:spacing w:line="276" w:lineRule="auto"/>
        <w:ind w:left="1134" w:hanging="425"/>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Quadro das espécies encontradas nas amostras;</w:t>
      </w:r>
    </w:p>
    <w:p w:rsidR="00040721" w:rsidRDefault="00E819B4">
      <w:pPr>
        <w:numPr>
          <w:ilvl w:val="2"/>
          <w:numId w:val="21"/>
        </w:numPr>
        <w:pBdr>
          <w:top w:val="nil"/>
          <w:left w:val="nil"/>
          <w:bottom w:val="nil"/>
          <w:right w:val="nil"/>
          <w:between w:val="nil"/>
        </w:pBdr>
        <w:spacing w:line="276" w:lineRule="auto"/>
        <w:jc w:val="both"/>
        <w:rPr>
          <w:rFonts w:ascii="Nexa ligth" w:eastAsia="Nexa ligth" w:hAnsi="Nexa ligth" w:cs="Nexa ligth"/>
          <w:sz w:val="22"/>
          <w:szCs w:val="22"/>
        </w:rPr>
      </w:pPr>
      <w:r>
        <w:rPr>
          <w:rFonts w:ascii="Nexa ligth" w:eastAsia="Nexa ligth" w:hAnsi="Nexa ligth" w:cs="Nexa ligth"/>
          <w:color w:val="000000"/>
          <w:sz w:val="22"/>
          <w:szCs w:val="22"/>
        </w:rPr>
        <w:t>Nesses casos o recolhimento da reposição florestal ocorrerá conforme art. 46, § 3º, da Lei Complementar nº 233/2005.</w:t>
      </w: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E819B4">
      <w:pPr>
        <w:numPr>
          <w:ilvl w:val="0"/>
          <w:numId w:val="1"/>
        </w:numPr>
        <w:pBdr>
          <w:top w:val="nil"/>
          <w:left w:val="nil"/>
          <w:bottom w:val="nil"/>
          <w:right w:val="nil"/>
          <w:between w:val="nil"/>
        </w:pBdr>
        <w:spacing w:line="276" w:lineRule="auto"/>
        <w:ind w:left="426" w:hanging="426"/>
        <w:jc w:val="both"/>
        <w:rPr>
          <w:rFonts w:ascii="Nexa ligth" w:eastAsia="Nexa ligth" w:hAnsi="Nexa ligth" w:cs="Nexa ligth"/>
          <w:b/>
          <w:bCs/>
          <w:color w:val="000000"/>
          <w:sz w:val="22"/>
          <w:szCs w:val="22"/>
        </w:rPr>
      </w:pPr>
      <w:r>
        <w:rPr>
          <w:rFonts w:ascii="Nexa ligth" w:eastAsia="Nexa ligth" w:hAnsi="Nexa ligth" w:cs="Nexa ligth"/>
          <w:b/>
          <w:bCs/>
          <w:color w:val="000000"/>
          <w:sz w:val="22"/>
          <w:szCs w:val="22"/>
        </w:rPr>
        <w:t>REFERÊNCIA BIBLIOGRÁFICA RECOMENDADA PARA ESTUDOS DE SOLOS</w:t>
      </w:r>
    </w:p>
    <w:p w:rsidR="00040721" w:rsidRDefault="00E819B4">
      <w:pPr>
        <w:numPr>
          <w:ilvl w:val="1"/>
          <w:numId w:val="22"/>
        </w:numPr>
        <w:pBdr>
          <w:top w:val="nil"/>
          <w:left w:val="nil"/>
          <w:bottom w:val="nil"/>
          <w:right w:val="nil"/>
          <w:between w:val="nil"/>
        </w:pBdr>
        <w:spacing w:line="276" w:lineRule="auto"/>
        <w:ind w:left="426"/>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IBGE. Instituto Brasileiro de Geografia e Estatística. Manual técnico de pedologia. 3. ed. Rio de Janeiro: IBGE, 2015. 430 p. il.</w:t>
      </w:r>
    </w:p>
    <w:p w:rsidR="00040721" w:rsidRDefault="00E819B4">
      <w:pPr>
        <w:numPr>
          <w:ilvl w:val="1"/>
          <w:numId w:val="22"/>
        </w:numPr>
        <w:pBdr>
          <w:top w:val="nil"/>
          <w:left w:val="nil"/>
          <w:bottom w:val="nil"/>
          <w:right w:val="nil"/>
          <w:between w:val="nil"/>
        </w:pBdr>
        <w:spacing w:line="276" w:lineRule="auto"/>
        <w:ind w:left="426"/>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SANTOS, H. G., et. al. Sistema brasileiro de classificação de solos. 6 ed. Revisada e Ampliada. Brasília: Embrapa, 2025. 393 p.</w:t>
      </w:r>
    </w:p>
    <w:p w:rsidR="00040721" w:rsidRDefault="00E819B4">
      <w:pPr>
        <w:numPr>
          <w:ilvl w:val="1"/>
          <w:numId w:val="22"/>
        </w:numPr>
        <w:pBdr>
          <w:top w:val="nil"/>
          <w:left w:val="nil"/>
          <w:bottom w:val="nil"/>
          <w:right w:val="nil"/>
          <w:between w:val="nil"/>
        </w:pBdr>
        <w:spacing w:line="276" w:lineRule="auto"/>
        <w:ind w:left="426"/>
        <w:jc w:val="both"/>
        <w:rPr>
          <w:rFonts w:ascii="Nexa ligth" w:eastAsia="Nexa ligth" w:hAnsi="Nexa ligth" w:cs="Nexa ligth"/>
          <w:color w:val="000000"/>
          <w:sz w:val="22"/>
          <w:szCs w:val="22"/>
        </w:rPr>
      </w:pPr>
      <w:r>
        <w:rPr>
          <w:rFonts w:ascii="Nexa ligth" w:eastAsia="Nexa ligth" w:hAnsi="Nexa ligth" w:cs="Nexa ligth"/>
          <w:color w:val="000000"/>
          <w:sz w:val="22"/>
          <w:szCs w:val="22"/>
        </w:rPr>
        <w:t>SANTOS, H. G.; HOCHMÜLLER, D. P.; CAVALCANTI, A. C.; RÊGO, R. S.; KER, J. C.; PANOSO, L. A.; AMARAL, J. A. M. Procedimentos normativos de levantamentos pedológicos. Brasília, DF: EMBRAPA - SPI, 1995. 113 p. ISBN 85-85007-58-3.</w:t>
      </w: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E819B4">
      <w:pPr>
        <w:pBdr>
          <w:top w:val="nil"/>
          <w:left w:val="nil"/>
          <w:bottom w:val="nil"/>
          <w:right w:val="nil"/>
          <w:between w:val="nil"/>
        </w:pBdr>
        <w:spacing w:line="276" w:lineRule="auto"/>
        <w:ind w:hanging="2"/>
        <w:jc w:val="center"/>
        <w:rPr>
          <w:rFonts w:ascii="Nexa ligth" w:eastAsia="Nexa ligth" w:hAnsi="Nexa ligth" w:cs="Nexa ligth"/>
          <w:sz w:val="22"/>
          <w:szCs w:val="22"/>
        </w:rPr>
      </w:pPr>
      <w:r>
        <w:rPr>
          <w:rFonts w:ascii="Nexa ligth" w:eastAsia="Nexa ligth" w:hAnsi="Nexa ligth" w:cs="Nexa ligth"/>
          <w:b/>
          <w:bCs/>
          <w:sz w:val="22"/>
          <w:szCs w:val="22"/>
        </w:rPr>
        <w:t>ANEXO I</w:t>
      </w:r>
    </w:p>
    <w:p w:rsidR="00040721" w:rsidRDefault="00E819B4">
      <w:pPr>
        <w:numPr>
          <w:ilvl w:val="0"/>
          <w:numId w:val="19"/>
        </w:numPr>
        <w:pBdr>
          <w:top w:val="nil"/>
          <w:left w:val="nil"/>
          <w:bottom w:val="nil"/>
          <w:right w:val="nil"/>
          <w:between w:val="nil"/>
        </w:pBdr>
        <w:spacing w:line="276" w:lineRule="auto"/>
        <w:rPr>
          <w:rFonts w:ascii="Nexa ligth" w:eastAsia="Nexa ligth" w:hAnsi="Nexa ligth" w:cs="Nexa ligth"/>
          <w:b/>
          <w:bCs/>
          <w:color w:val="000000"/>
          <w:sz w:val="22"/>
          <w:szCs w:val="22"/>
        </w:rPr>
      </w:pPr>
      <w:r>
        <w:rPr>
          <w:rFonts w:ascii="Nexa ligth" w:eastAsia="Nexa ligth" w:hAnsi="Nexa ligth" w:cs="Nexa ligth"/>
          <w:b/>
          <w:bCs/>
          <w:color w:val="000000"/>
          <w:sz w:val="22"/>
          <w:szCs w:val="22"/>
        </w:rPr>
        <w:t>Quadro do volume da madeira em toras em metro cúbico com e sem casca</w:t>
      </w:r>
    </w:p>
    <w:tbl>
      <w:tblPr>
        <w:tblStyle w:val="a1"/>
        <w:tblW w:w="9139" w:type="dxa"/>
        <w:tblInd w:w="-75" w:type="dxa"/>
        <w:tblLayout w:type="fixed"/>
        <w:tblLook w:val="0000" w:firstRow="0" w:lastRow="0" w:firstColumn="0" w:lastColumn="0" w:noHBand="0" w:noVBand="0"/>
      </w:tblPr>
      <w:tblGrid>
        <w:gridCol w:w="493"/>
        <w:gridCol w:w="1559"/>
        <w:gridCol w:w="1371"/>
        <w:gridCol w:w="1322"/>
        <w:gridCol w:w="1418"/>
        <w:gridCol w:w="1417"/>
        <w:gridCol w:w="1559"/>
      </w:tblGrid>
      <w:tr w:rsidR="00040721">
        <w:trPr>
          <w:trHeight w:val="214"/>
        </w:trPr>
        <w:tc>
          <w:tcPr>
            <w:tcW w:w="9139" w:type="dxa"/>
            <w:gridSpan w:val="7"/>
            <w:tcBorders>
              <w:top w:val="single" w:sz="4"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b/>
                <w:bCs/>
                <w:sz w:val="22"/>
                <w:szCs w:val="22"/>
              </w:rPr>
              <w:t>Quantificação da madeira em toras - Solicitada no Plano de Exploração e Supressão</w:t>
            </w:r>
          </w:p>
        </w:tc>
      </w:tr>
      <w:tr w:rsidR="00040721">
        <w:trPr>
          <w:cantSplit/>
          <w:trHeight w:val="259"/>
        </w:trPr>
        <w:tc>
          <w:tcPr>
            <w:tcW w:w="493" w:type="dxa"/>
            <w:vMerge w:val="restart"/>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both"/>
              <w:rPr>
                <w:rFonts w:ascii="Nexa ligth" w:eastAsia="Nexa ligth" w:hAnsi="Nexa ligth" w:cs="Nexa ligth"/>
                <w:sz w:val="22"/>
                <w:szCs w:val="22"/>
              </w:rPr>
            </w:pPr>
            <w:r>
              <w:rPr>
                <w:rFonts w:ascii="Nexa ligth" w:eastAsia="Nexa ligth" w:hAnsi="Nexa ligth" w:cs="Nexa ligth"/>
                <w:sz w:val="22"/>
                <w:szCs w:val="22"/>
              </w:rPr>
              <w:t>Nº</w:t>
            </w:r>
          </w:p>
        </w:tc>
        <w:tc>
          <w:tcPr>
            <w:tcW w:w="2930" w:type="dxa"/>
            <w:gridSpan w:val="2"/>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ESPÉCIES FLORESTAIS</w:t>
            </w:r>
          </w:p>
        </w:tc>
        <w:tc>
          <w:tcPr>
            <w:tcW w:w="2740" w:type="dxa"/>
            <w:gridSpan w:val="2"/>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VOLUME (m</w:t>
            </w:r>
            <w:r>
              <w:rPr>
                <w:rFonts w:ascii="Nexa ligth" w:eastAsia="Nexa ligth" w:hAnsi="Nexa ligth" w:cs="Nexa ligth"/>
                <w:sz w:val="22"/>
                <w:szCs w:val="22"/>
                <w:vertAlign w:val="superscript"/>
              </w:rPr>
              <w:t>3</w:t>
            </w:r>
            <w:r>
              <w:rPr>
                <w:rFonts w:ascii="Nexa ligth" w:eastAsia="Nexa ligth" w:hAnsi="Nexa ligth" w:cs="Nexa ligth"/>
                <w:sz w:val="22"/>
                <w:szCs w:val="22"/>
              </w:rPr>
              <w:t>) com casca</w:t>
            </w:r>
          </w:p>
        </w:tc>
        <w:tc>
          <w:tcPr>
            <w:tcW w:w="2976" w:type="dxa"/>
            <w:gridSpan w:val="2"/>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VOLUME (m</w:t>
            </w:r>
            <w:r>
              <w:rPr>
                <w:rFonts w:ascii="Nexa ligth" w:eastAsia="Nexa ligth" w:hAnsi="Nexa ligth" w:cs="Nexa ligth"/>
                <w:sz w:val="22"/>
                <w:szCs w:val="22"/>
                <w:vertAlign w:val="superscript"/>
              </w:rPr>
              <w:t>3</w:t>
            </w:r>
            <w:r>
              <w:rPr>
                <w:rFonts w:ascii="Nexa ligth" w:eastAsia="Nexa ligth" w:hAnsi="Nexa ligth" w:cs="Nexa ligth"/>
                <w:sz w:val="22"/>
                <w:szCs w:val="22"/>
              </w:rPr>
              <w:t>) sem casca</w:t>
            </w:r>
          </w:p>
        </w:tc>
      </w:tr>
      <w:tr w:rsidR="00040721">
        <w:trPr>
          <w:cantSplit/>
        </w:trPr>
        <w:tc>
          <w:tcPr>
            <w:tcW w:w="493" w:type="dxa"/>
            <w:vMerge/>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widowControl w:val="0"/>
              <w:pBdr>
                <w:top w:val="nil"/>
                <w:left w:val="nil"/>
                <w:bottom w:val="nil"/>
                <w:right w:val="nil"/>
                <w:between w:val="nil"/>
              </w:pBdr>
              <w:spacing w:line="276" w:lineRule="auto"/>
              <w:ind w:firstLine="0"/>
              <w:rPr>
                <w:rFonts w:ascii="Nexa ligth" w:eastAsia="Nexa ligth" w:hAnsi="Nexa ligth" w:cs="Nexa ligth"/>
                <w:sz w:val="22"/>
                <w:szCs w:val="22"/>
              </w:rPr>
            </w:pP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Nome Científico</w:t>
            </w:r>
          </w:p>
        </w:tc>
        <w:tc>
          <w:tcPr>
            <w:tcW w:w="1371"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Nome Popular</w:t>
            </w:r>
          </w:p>
        </w:tc>
        <w:tc>
          <w:tcPr>
            <w:tcW w:w="1322"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 hectare</w:t>
            </w:r>
          </w:p>
        </w:tc>
        <w:tc>
          <w:tcPr>
            <w:tcW w:w="1418"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 AEP líquida</w:t>
            </w:r>
          </w:p>
        </w:tc>
        <w:tc>
          <w:tcPr>
            <w:tcW w:w="1417"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 hectare</w:t>
            </w: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center"/>
              <w:rPr>
                <w:rFonts w:ascii="Nexa ligth" w:eastAsia="Nexa ligth" w:hAnsi="Nexa ligth" w:cs="Nexa ligth"/>
                <w:sz w:val="22"/>
                <w:szCs w:val="22"/>
              </w:rPr>
            </w:pPr>
            <w:r>
              <w:rPr>
                <w:rFonts w:ascii="Nexa ligth" w:eastAsia="Nexa ligth" w:hAnsi="Nexa ligth" w:cs="Nexa ligth"/>
                <w:sz w:val="22"/>
                <w:szCs w:val="22"/>
              </w:rPr>
              <w:t>/ AEP líquida</w:t>
            </w:r>
          </w:p>
        </w:tc>
      </w:tr>
      <w:tr w:rsidR="00040721">
        <w:trPr>
          <w:trHeight w:val="231"/>
        </w:trPr>
        <w:tc>
          <w:tcPr>
            <w:tcW w:w="493"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both"/>
              <w:rPr>
                <w:rFonts w:ascii="Nexa ligth" w:eastAsia="Nexa ligth" w:hAnsi="Nexa ligth" w:cs="Nexa ligth"/>
                <w:sz w:val="22"/>
                <w:szCs w:val="22"/>
              </w:rPr>
            </w:pPr>
            <w:r>
              <w:rPr>
                <w:rFonts w:ascii="Nexa ligth" w:eastAsia="Nexa ligth" w:hAnsi="Nexa ligth" w:cs="Nexa ligth"/>
                <w:sz w:val="22"/>
                <w:szCs w:val="22"/>
              </w:rPr>
              <w:t>1</w:t>
            </w: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371"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322"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r>
      <w:tr w:rsidR="00040721">
        <w:tc>
          <w:tcPr>
            <w:tcW w:w="493"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both"/>
              <w:rPr>
                <w:rFonts w:ascii="Nexa ligth" w:eastAsia="Nexa ligth" w:hAnsi="Nexa ligth" w:cs="Nexa ligth"/>
                <w:sz w:val="22"/>
                <w:szCs w:val="22"/>
              </w:rPr>
            </w:pPr>
            <w:r>
              <w:rPr>
                <w:rFonts w:ascii="Nexa ligth" w:eastAsia="Nexa ligth" w:hAnsi="Nexa ligth" w:cs="Nexa ligth"/>
                <w:sz w:val="22"/>
                <w:szCs w:val="22"/>
              </w:rPr>
              <w:t>2</w:t>
            </w: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371"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322"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r>
      <w:tr w:rsidR="00040721">
        <w:tc>
          <w:tcPr>
            <w:tcW w:w="493"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both"/>
              <w:rPr>
                <w:rFonts w:ascii="Nexa ligth" w:eastAsia="Nexa ligth" w:hAnsi="Nexa ligth" w:cs="Nexa ligth"/>
                <w:sz w:val="22"/>
                <w:szCs w:val="22"/>
              </w:rPr>
            </w:pPr>
            <w:r>
              <w:rPr>
                <w:rFonts w:ascii="Nexa ligth" w:eastAsia="Nexa ligth" w:hAnsi="Nexa ligth" w:cs="Nexa ligth"/>
                <w:sz w:val="22"/>
                <w:szCs w:val="22"/>
              </w:rPr>
              <w:t>3</w:t>
            </w: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371"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322"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r>
      <w:tr w:rsidR="00040721">
        <w:tc>
          <w:tcPr>
            <w:tcW w:w="3423" w:type="dxa"/>
            <w:gridSpan w:val="3"/>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E819B4">
            <w:pPr>
              <w:pBdr>
                <w:top w:val="nil"/>
                <w:left w:val="nil"/>
                <w:bottom w:val="nil"/>
                <w:right w:val="nil"/>
                <w:between w:val="nil"/>
              </w:pBdr>
              <w:ind w:hanging="2"/>
              <w:jc w:val="both"/>
              <w:rPr>
                <w:rFonts w:ascii="Nexa ligth" w:eastAsia="Nexa ligth" w:hAnsi="Nexa ligth" w:cs="Nexa ligth"/>
                <w:sz w:val="22"/>
                <w:szCs w:val="22"/>
              </w:rPr>
            </w:pPr>
            <w:r>
              <w:rPr>
                <w:rFonts w:ascii="Nexa ligth" w:eastAsia="Nexa ligth" w:hAnsi="Nexa ligth" w:cs="Nexa ligth"/>
                <w:sz w:val="22"/>
                <w:szCs w:val="22"/>
              </w:rPr>
              <w:t>TOTAL do Volume Solicitado</w:t>
            </w:r>
          </w:p>
        </w:tc>
        <w:tc>
          <w:tcPr>
            <w:tcW w:w="1322"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c>
          <w:tcPr>
            <w:tcW w:w="1559" w:type="dxa"/>
            <w:tcBorders>
              <w:top w:val="single" w:sz="6" w:space="0" w:color="000000"/>
              <w:left w:val="single" w:sz="6" w:space="0" w:color="000000"/>
              <w:bottom w:val="single" w:sz="6" w:space="0" w:color="000000"/>
              <w:right w:val="single" w:sz="6" w:space="0" w:color="000000"/>
            </w:tcBorders>
            <w:tcMar>
              <w:top w:w="105" w:type="dxa"/>
              <w:left w:w="75" w:type="dxa"/>
              <w:bottom w:w="105" w:type="dxa"/>
              <w:right w:w="75" w:type="dxa"/>
            </w:tcMar>
          </w:tcPr>
          <w:p w:rsidR="00040721" w:rsidRDefault="00040721">
            <w:pPr>
              <w:pBdr>
                <w:top w:val="nil"/>
                <w:left w:val="nil"/>
                <w:bottom w:val="nil"/>
                <w:right w:val="nil"/>
                <w:between w:val="nil"/>
              </w:pBdr>
              <w:ind w:hanging="2"/>
              <w:jc w:val="both"/>
              <w:rPr>
                <w:rFonts w:ascii="Nexa ligth" w:eastAsia="Nexa ligth" w:hAnsi="Nexa ligth" w:cs="Nexa ligth"/>
                <w:sz w:val="22"/>
                <w:szCs w:val="22"/>
              </w:rPr>
            </w:pPr>
          </w:p>
        </w:tc>
      </w:tr>
    </w:tbl>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OBS: Todas as essências florestais devem ser identificadas em nível de gênero e espécie, vedado o uso de sinônimos. Não podendo ter dois nomes científicos para o mesmo nome vulgar.</w:t>
      </w:r>
    </w:p>
    <w:p w:rsidR="00040721" w:rsidRDefault="00040721">
      <w:pPr>
        <w:pBdr>
          <w:top w:val="nil"/>
          <w:left w:val="nil"/>
          <w:bottom w:val="nil"/>
          <w:right w:val="nil"/>
          <w:between w:val="nil"/>
        </w:pBdr>
        <w:spacing w:line="276" w:lineRule="auto"/>
        <w:ind w:hanging="2"/>
        <w:jc w:val="center"/>
        <w:rPr>
          <w:rFonts w:ascii="Nexa ligth" w:eastAsia="Nexa ligth" w:hAnsi="Nexa ligth" w:cs="Nexa ligth"/>
          <w:b/>
          <w:bCs/>
          <w:sz w:val="22"/>
          <w:szCs w:val="22"/>
        </w:rPr>
      </w:pPr>
    </w:p>
    <w:p w:rsidR="00040721" w:rsidRDefault="00E819B4">
      <w:pPr>
        <w:pBdr>
          <w:top w:val="nil"/>
          <w:left w:val="nil"/>
          <w:bottom w:val="nil"/>
          <w:right w:val="nil"/>
          <w:between w:val="nil"/>
        </w:pBdr>
        <w:spacing w:line="276" w:lineRule="auto"/>
        <w:ind w:hanging="2"/>
        <w:jc w:val="center"/>
        <w:rPr>
          <w:rFonts w:ascii="Nexa ligth" w:eastAsia="Nexa ligth" w:hAnsi="Nexa ligth" w:cs="Nexa ligth"/>
          <w:sz w:val="22"/>
          <w:szCs w:val="22"/>
        </w:rPr>
      </w:pPr>
      <w:r>
        <w:rPr>
          <w:rFonts w:ascii="Nexa ligth" w:eastAsia="Nexa ligth" w:hAnsi="Nexa ligth" w:cs="Nexa ligth"/>
          <w:b/>
          <w:bCs/>
          <w:sz w:val="22"/>
          <w:szCs w:val="22"/>
        </w:rPr>
        <w:t>ANEXO II</w:t>
      </w:r>
    </w:p>
    <w:p w:rsidR="00040721" w:rsidRDefault="00E819B4">
      <w:pPr>
        <w:numPr>
          <w:ilvl w:val="0"/>
          <w:numId w:val="19"/>
        </w:numPr>
        <w:pBdr>
          <w:top w:val="nil"/>
          <w:left w:val="nil"/>
          <w:bottom w:val="nil"/>
          <w:right w:val="nil"/>
          <w:between w:val="nil"/>
        </w:pBdr>
        <w:spacing w:line="276" w:lineRule="auto"/>
        <w:rPr>
          <w:rFonts w:ascii="Nexa ligth" w:eastAsia="Nexa ligth" w:hAnsi="Nexa ligth" w:cs="Nexa ligth"/>
          <w:b/>
          <w:bCs/>
          <w:color w:val="000000"/>
          <w:sz w:val="22"/>
          <w:szCs w:val="22"/>
        </w:rPr>
      </w:pPr>
      <w:r>
        <w:rPr>
          <w:rFonts w:ascii="Nexa ligth" w:eastAsia="Nexa ligth" w:hAnsi="Nexa ligth" w:cs="Nexa ligth"/>
          <w:b/>
          <w:bCs/>
          <w:color w:val="000000"/>
          <w:sz w:val="22"/>
          <w:szCs w:val="22"/>
        </w:rPr>
        <w:t>Quadro do volume da lenha aproveitável em metro cúbico e estéreo</w:t>
      </w:r>
    </w:p>
    <w:tbl>
      <w:tblPr>
        <w:tblStyle w:val="a2"/>
        <w:tblW w:w="9169" w:type="dxa"/>
        <w:tblInd w:w="-105" w:type="dxa"/>
        <w:tblLayout w:type="fixed"/>
        <w:tblLook w:val="0000" w:firstRow="0" w:lastRow="0" w:firstColumn="0" w:lastColumn="0" w:noHBand="0" w:noVBand="0"/>
      </w:tblPr>
      <w:tblGrid>
        <w:gridCol w:w="2564"/>
        <w:gridCol w:w="2691"/>
        <w:gridCol w:w="3914"/>
      </w:tblGrid>
      <w:tr w:rsidR="00040721">
        <w:trPr>
          <w:trHeight w:val="435"/>
        </w:trPr>
        <w:tc>
          <w:tcPr>
            <w:tcW w:w="9169"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E819B4">
            <w:pPr>
              <w:pBdr>
                <w:top w:val="nil"/>
                <w:left w:val="nil"/>
                <w:bottom w:val="nil"/>
                <w:right w:val="nil"/>
                <w:between w:val="nil"/>
              </w:pBdr>
              <w:spacing w:line="276" w:lineRule="auto"/>
              <w:ind w:hanging="2"/>
              <w:jc w:val="center"/>
              <w:rPr>
                <w:rFonts w:ascii="Nexa ligth" w:eastAsia="Nexa ligth" w:hAnsi="Nexa ligth" w:cs="Nexa ligth"/>
                <w:sz w:val="22"/>
                <w:szCs w:val="22"/>
              </w:rPr>
            </w:pPr>
            <w:r>
              <w:rPr>
                <w:rFonts w:ascii="Nexa ligth" w:eastAsia="Nexa ligth" w:hAnsi="Nexa ligth" w:cs="Nexa ligth"/>
                <w:b/>
                <w:bCs/>
                <w:sz w:val="22"/>
                <w:szCs w:val="22"/>
              </w:rPr>
              <w:t>QUANTIFICAÇÃO DA LENHA Solicitada no Plano de Exploração e Supressão</w:t>
            </w:r>
          </w:p>
        </w:tc>
      </w:tr>
      <w:tr w:rsidR="00040721">
        <w:tc>
          <w:tcPr>
            <w:tcW w:w="25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ESPÉCIES FLORESTAIS</w:t>
            </w:r>
          </w:p>
        </w:tc>
        <w:tc>
          <w:tcPr>
            <w:tcW w:w="26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Volume Metros Estéreo / ha</w:t>
            </w:r>
          </w:p>
        </w:tc>
        <w:tc>
          <w:tcPr>
            <w:tcW w:w="39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Volume Metros Estéreo / AEP</w:t>
            </w:r>
          </w:p>
        </w:tc>
      </w:tr>
      <w:tr w:rsidR="00040721">
        <w:trPr>
          <w:trHeight w:val="20"/>
        </w:trPr>
        <w:tc>
          <w:tcPr>
            <w:tcW w:w="25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E819B4">
            <w:pPr>
              <w:pBdr>
                <w:top w:val="nil"/>
                <w:left w:val="nil"/>
                <w:bottom w:val="nil"/>
                <w:right w:val="nil"/>
                <w:between w:val="nil"/>
              </w:pBdr>
              <w:spacing w:line="276" w:lineRule="auto"/>
              <w:ind w:hanging="2"/>
              <w:jc w:val="both"/>
              <w:rPr>
                <w:rFonts w:ascii="Nexa ligth" w:eastAsia="Nexa ligth" w:hAnsi="Nexa ligth" w:cs="Nexa ligth"/>
                <w:sz w:val="22"/>
                <w:szCs w:val="22"/>
              </w:rPr>
            </w:pPr>
            <w:r>
              <w:rPr>
                <w:rFonts w:ascii="Nexa ligth" w:eastAsia="Nexa ligth" w:hAnsi="Nexa ligth" w:cs="Nexa ligth"/>
                <w:sz w:val="22"/>
                <w:szCs w:val="22"/>
              </w:rPr>
              <w:t>Diversas</w:t>
            </w:r>
          </w:p>
        </w:tc>
        <w:tc>
          <w:tcPr>
            <w:tcW w:w="26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tc>
        <w:tc>
          <w:tcPr>
            <w:tcW w:w="39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tc>
      </w:tr>
    </w:tbl>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E819B4">
      <w:pPr>
        <w:pBdr>
          <w:top w:val="nil"/>
          <w:left w:val="nil"/>
          <w:bottom w:val="nil"/>
          <w:right w:val="nil"/>
          <w:between w:val="nil"/>
        </w:pBdr>
        <w:spacing w:line="276" w:lineRule="auto"/>
        <w:ind w:hanging="2"/>
        <w:jc w:val="center"/>
        <w:rPr>
          <w:rFonts w:ascii="Nexa ligth" w:eastAsia="Nexa ligth" w:hAnsi="Nexa ligth" w:cs="Nexa ligth"/>
          <w:b/>
          <w:bCs/>
          <w:sz w:val="22"/>
          <w:szCs w:val="22"/>
        </w:rPr>
      </w:pPr>
      <w:r>
        <w:br w:type="page"/>
      </w:r>
    </w:p>
    <w:p w:rsidR="00040721" w:rsidRDefault="00040721">
      <w:pPr>
        <w:pBdr>
          <w:top w:val="nil"/>
          <w:left w:val="nil"/>
          <w:bottom w:val="nil"/>
          <w:right w:val="nil"/>
          <w:between w:val="nil"/>
        </w:pBdr>
        <w:spacing w:line="276" w:lineRule="auto"/>
        <w:ind w:hanging="2"/>
        <w:jc w:val="center"/>
        <w:rPr>
          <w:rFonts w:ascii="Nexa ligth" w:eastAsia="Nexa ligth" w:hAnsi="Nexa ligth" w:cs="Nexa ligth"/>
          <w:b/>
          <w:bCs/>
          <w:sz w:val="22"/>
          <w:szCs w:val="22"/>
        </w:rPr>
      </w:pPr>
    </w:p>
    <w:p w:rsidR="00040721" w:rsidRDefault="00E819B4">
      <w:pPr>
        <w:pBdr>
          <w:top w:val="nil"/>
          <w:left w:val="nil"/>
          <w:bottom w:val="nil"/>
          <w:right w:val="nil"/>
          <w:between w:val="nil"/>
        </w:pBdr>
        <w:spacing w:line="276" w:lineRule="auto"/>
        <w:ind w:hanging="2"/>
        <w:jc w:val="center"/>
        <w:rPr>
          <w:rFonts w:ascii="Nexa ligth" w:eastAsia="Nexa ligth" w:hAnsi="Nexa ligth" w:cs="Nexa ligth"/>
          <w:sz w:val="22"/>
          <w:szCs w:val="22"/>
        </w:rPr>
      </w:pPr>
      <w:r>
        <w:rPr>
          <w:rFonts w:ascii="Nexa ligth" w:eastAsia="Nexa ligth" w:hAnsi="Nexa ligth" w:cs="Nexa ligth"/>
          <w:b/>
          <w:bCs/>
          <w:sz w:val="22"/>
          <w:szCs w:val="22"/>
        </w:rPr>
        <w:t>ANEXO III</w:t>
      </w:r>
    </w:p>
    <w:p w:rsidR="00040721" w:rsidRDefault="00040721">
      <w:pPr>
        <w:ind w:hanging="2"/>
        <w:jc w:val="both"/>
        <w:rPr>
          <w:rFonts w:ascii="Nexa ligth" w:eastAsia="Nexa ligth" w:hAnsi="Nexa ligth" w:cs="Nexa ligth"/>
          <w:sz w:val="22"/>
          <w:szCs w:val="22"/>
        </w:rPr>
      </w:pPr>
    </w:p>
    <w:tbl>
      <w:tblPr>
        <w:tblStyle w:val="a3"/>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671"/>
        <w:gridCol w:w="5812"/>
      </w:tblGrid>
      <w:tr w:rsidR="00040721">
        <w:trPr>
          <w:trHeight w:val="397"/>
        </w:trPr>
        <w:tc>
          <w:tcPr>
            <w:tcW w:w="9483" w:type="dxa"/>
            <w:gridSpan w:val="2"/>
            <w:tcBorders>
              <w:top w:val="single" w:sz="12" w:space="0" w:color="000000"/>
              <w:bottom w:val="single" w:sz="12" w:space="0" w:color="000000"/>
            </w:tcBorders>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IDENTIFICAÇÃO DO IMÓVEL</w:t>
            </w:r>
          </w:p>
        </w:tc>
      </w:tr>
      <w:tr w:rsidR="00040721">
        <w:trPr>
          <w:trHeight w:val="227"/>
        </w:trPr>
        <w:tc>
          <w:tcPr>
            <w:tcW w:w="3671" w:type="dxa"/>
            <w:tcBorders>
              <w:top w:val="single" w:sz="12"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NOME:</w:t>
            </w:r>
          </w:p>
        </w:tc>
        <w:tc>
          <w:tcPr>
            <w:tcW w:w="5812" w:type="dxa"/>
            <w:tcBorders>
              <w:top w:val="single" w:sz="12" w:space="0" w:color="000000"/>
            </w:tcBorders>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a identificação do imóvel conforme documento comprobatório da posse.</w:t>
            </w:r>
          </w:p>
        </w:tc>
      </w:tr>
      <w:tr w:rsidR="00040721">
        <w:trPr>
          <w:trHeight w:val="591"/>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COMPROVAÇÃO DA PROPRIEDADE OU POSSE:</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o tipo de posse de acordo com o art. 66 do Decreto nº 1.313/2022.</w:t>
            </w:r>
          </w:p>
        </w:tc>
      </w:tr>
      <w:tr w:rsidR="00040721">
        <w:trPr>
          <w:trHeight w:val="329"/>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 xml:space="preserve">NÚMERO DO CAR: </w:t>
            </w:r>
          </w:p>
        </w:tc>
        <w:tc>
          <w:tcPr>
            <w:tcW w:w="5812" w:type="dxa"/>
            <w:vAlign w:val="center"/>
          </w:tcPr>
          <w:p w:rsidR="00040721" w:rsidRDefault="00040721">
            <w:pPr>
              <w:ind w:hanging="2"/>
              <w:rPr>
                <w:rFonts w:ascii="Nexa ligth" w:eastAsia="Nexa ligth" w:hAnsi="Nexa ligth" w:cs="Nexa ligth"/>
                <w:sz w:val="22"/>
                <w:szCs w:val="22"/>
              </w:rPr>
            </w:pPr>
          </w:p>
        </w:tc>
      </w:tr>
      <w:tr w:rsidR="00040721">
        <w:trPr>
          <w:trHeight w:val="329"/>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CÓDIGO DO IMÓVEL NO SNCR:</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o código do imóvel no Sistema Nacional de Cadastro Rural - SNCR</w:t>
            </w:r>
          </w:p>
        </w:tc>
      </w:tr>
      <w:tr w:rsidR="00040721">
        <w:trPr>
          <w:trHeight w:val="329"/>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CÓDIGO DA CERTIFICAÇÃO DO IMÓVEL POR MEIO DO SIGEF:</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o código da certificação do imóvel por meio do Sistema de Gestão Fundiária - SIGEF, quando houver, nos termos do art. 176, § 5º, da Lei nº 6.015, de 31 de dezembro de 1973 e dos normativos vigentes.</w:t>
            </w:r>
          </w:p>
        </w:tc>
      </w:tr>
    </w:tbl>
    <w:p w:rsidR="00040721" w:rsidRDefault="00040721">
      <w:pPr>
        <w:widowControl w:val="0"/>
        <w:pBdr>
          <w:top w:val="nil"/>
          <w:left w:val="nil"/>
          <w:bottom w:val="nil"/>
          <w:right w:val="nil"/>
          <w:between w:val="nil"/>
        </w:pBdr>
        <w:spacing w:line="276" w:lineRule="auto"/>
        <w:ind w:firstLine="0"/>
        <w:rPr>
          <w:rFonts w:ascii="Nexa ligth" w:eastAsia="Nexa ligth" w:hAnsi="Nexa ligth" w:cs="Nexa ligth"/>
          <w:i/>
          <w:iCs/>
          <w:sz w:val="22"/>
          <w:szCs w:val="22"/>
        </w:rPr>
      </w:pPr>
    </w:p>
    <w:tbl>
      <w:tblPr>
        <w:tblStyle w:val="a4"/>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671"/>
        <w:gridCol w:w="15"/>
        <w:gridCol w:w="5797"/>
      </w:tblGrid>
      <w:tr w:rsidR="00040721">
        <w:trPr>
          <w:trHeight w:val="397"/>
        </w:trPr>
        <w:tc>
          <w:tcPr>
            <w:tcW w:w="9483" w:type="dxa"/>
            <w:gridSpan w:val="3"/>
            <w:tcBorders>
              <w:top w:val="single" w:sz="12" w:space="0" w:color="000000"/>
              <w:bottom w:val="single" w:sz="12" w:space="0" w:color="000000"/>
            </w:tcBorders>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LOCALIZAÇÃO DO IMÓVEL</w:t>
            </w:r>
          </w:p>
        </w:tc>
      </w:tr>
      <w:tr w:rsidR="00040721">
        <w:trPr>
          <w:trHeight w:val="227"/>
        </w:trPr>
        <w:tc>
          <w:tcPr>
            <w:tcW w:w="3671" w:type="dxa"/>
            <w:tcBorders>
              <w:top w:val="single" w:sz="12"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MUNICÍPIO/UF:</w:t>
            </w:r>
          </w:p>
        </w:tc>
        <w:tc>
          <w:tcPr>
            <w:tcW w:w="5812" w:type="dxa"/>
            <w:gridSpan w:val="2"/>
            <w:tcBorders>
              <w:top w:val="single" w:sz="12"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COORDENADAS GEOGRÁFICAS:</w:t>
            </w:r>
          </w:p>
        </w:tc>
        <w:tc>
          <w:tcPr>
            <w:tcW w:w="5812" w:type="dxa"/>
            <w:gridSpan w:val="2"/>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no formato GMS (-00:00:00,00)</w:t>
            </w:r>
          </w:p>
        </w:tc>
      </w:tr>
      <w:tr w:rsidR="00040721">
        <w:trPr>
          <w:trHeight w:val="489"/>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DESCRIÇÃO DO ACESSO:</w:t>
            </w:r>
          </w:p>
        </w:tc>
        <w:tc>
          <w:tcPr>
            <w:tcW w:w="5812" w:type="dxa"/>
            <w:gridSpan w:val="2"/>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 xml:space="preserve">Memorial descritivo de todo o trajeto desde a cidade mais próxima até a propriedade. </w:t>
            </w:r>
          </w:p>
        </w:tc>
      </w:tr>
      <w:tr w:rsidR="00040721">
        <w:trPr>
          <w:trHeight w:val="438"/>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 xml:space="preserve">CROQUI DE ACESSO </w:t>
            </w:r>
          </w:p>
        </w:tc>
        <w:tc>
          <w:tcPr>
            <w:tcW w:w="5812" w:type="dxa"/>
            <w:gridSpan w:val="2"/>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Anexar croqui detalhado de acesso à propriedade com coordenadas geográficas da sede da propriedade e entrada principal.</w:t>
            </w:r>
          </w:p>
        </w:tc>
      </w:tr>
      <w:tr w:rsidR="00040721">
        <w:trPr>
          <w:trHeight w:val="397"/>
        </w:trPr>
        <w:tc>
          <w:tcPr>
            <w:tcW w:w="9483" w:type="dxa"/>
            <w:gridSpan w:val="3"/>
            <w:tcBorders>
              <w:top w:val="single" w:sz="12" w:space="0" w:color="000000"/>
              <w:bottom w:val="single" w:sz="12" w:space="0" w:color="000000"/>
            </w:tcBorders>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PROPRIETÁRIO DO IMÓVEL</w:t>
            </w:r>
          </w:p>
        </w:tc>
      </w:tr>
      <w:tr w:rsidR="00040721">
        <w:trPr>
          <w:trHeight w:val="227"/>
        </w:trPr>
        <w:tc>
          <w:tcPr>
            <w:tcW w:w="3686" w:type="dxa"/>
            <w:gridSpan w:val="2"/>
            <w:tcBorders>
              <w:top w:val="single" w:sz="12" w:space="0" w:color="000000"/>
              <w:bottom w:val="single" w:sz="4"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NOME:</w:t>
            </w:r>
          </w:p>
        </w:tc>
        <w:tc>
          <w:tcPr>
            <w:tcW w:w="5797" w:type="dxa"/>
            <w:tcBorders>
              <w:top w:val="single" w:sz="12" w:space="0" w:color="000000"/>
              <w:bottom w:val="single" w:sz="4"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gridSpan w:val="2"/>
            <w:tcBorders>
              <w:top w:val="single" w:sz="4"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CPF / CNPJ N.º:</w:t>
            </w:r>
          </w:p>
        </w:tc>
        <w:tc>
          <w:tcPr>
            <w:tcW w:w="5797" w:type="dxa"/>
            <w:tcBorders>
              <w:top w:val="single" w:sz="4"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gridSpan w:val="2"/>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RG / INSC. EST. N.º:</w:t>
            </w:r>
          </w:p>
        </w:tc>
        <w:tc>
          <w:tcPr>
            <w:tcW w:w="5797" w:type="dxa"/>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gridSpan w:val="2"/>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ENDEREÇO:</w:t>
            </w:r>
          </w:p>
        </w:tc>
        <w:tc>
          <w:tcPr>
            <w:tcW w:w="5797" w:type="dxa"/>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gridSpan w:val="2"/>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CEP N.º:</w:t>
            </w:r>
          </w:p>
        </w:tc>
        <w:tc>
          <w:tcPr>
            <w:tcW w:w="5797" w:type="dxa"/>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gridSpan w:val="2"/>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TELEFONE N.º :   /  CELULAR N.º:</w:t>
            </w:r>
          </w:p>
        </w:tc>
        <w:tc>
          <w:tcPr>
            <w:tcW w:w="5797" w:type="dxa"/>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gridSpan w:val="2"/>
            <w:tcBorders>
              <w:bottom w:val="single" w:sz="12"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E-MAIL:</w:t>
            </w:r>
          </w:p>
        </w:tc>
        <w:tc>
          <w:tcPr>
            <w:tcW w:w="5797" w:type="dxa"/>
            <w:tcBorders>
              <w:bottom w:val="single" w:sz="12" w:space="0" w:color="000000"/>
            </w:tcBorders>
            <w:vAlign w:val="center"/>
          </w:tcPr>
          <w:p w:rsidR="00040721" w:rsidRDefault="00040721">
            <w:pPr>
              <w:ind w:hanging="2"/>
              <w:rPr>
                <w:rFonts w:ascii="Nexa ligth" w:eastAsia="Nexa ligth" w:hAnsi="Nexa ligth" w:cs="Nexa ligth"/>
                <w:sz w:val="22"/>
                <w:szCs w:val="22"/>
              </w:rPr>
            </w:pPr>
          </w:p>
        </w:tc>
      </w:tr>
    </w:tbl>
    <w:p w:rsidR="00040721" w:rsidRDefault="00040721">
      <w:pPr>
        <w:widowControl w:val="0"/>
        <w:pBdr>
          <w:top w:val="nil"/>
          <w:left w:val="nil"/>
          <w:bottom w:val="nil"/>
          <w:right w:val="nil"/>
          <w:between w:val="nil"/>
        </w:pBdr>
        <w:spacing w:line="276" w:lineRule="auto"/>
        <w:ind w:firstLine="0"/>
        <w:rPr>
          <w:rFonts w:ascii="Nexa ligth" w:eastAsia="Nexa ligth" w:hAnsi="Nexa ligth" w:cs="Nexa ligth"/>
          <w:sz w:val="22"/>
          <w:szCs w:val="22"/>
        </w:rPr>
      </w:pPr>
    </w:p>
    <w:tbl>
      <w:tblPr>
        <w:tblStyle w:val="a5"/>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686"/>
        <w:gridCol w:w="5797"/>
      </w:tblGrid>
      <w:tr w:rsidR="00040721">
        <w:trPr>
          <w:trHeight w:val="397"/>
        </w:trPr>
        <w:tc>
          <w:tcPr>
            <w:tcW w:w="9483" w:type="dxa"/>
            <w:gridSpan w:val="2"/>
            <w:tcBorders>
              <w:top w:val="single" w:sz="12" w:space="0" w:color="000000"/>
              <w:bottom w:val="single" w:sz="12" w:space="0" w:color="000000"/>
            </w:tcBorders>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ELABORADOR/EXECUTOR</w:t>
            </w:r>
          </w:p>
        </w:tc>
      </w:tr>
      <w:tr w:rsidR="00040721">
        <w:trPr>
          <w:trHeight w:val="227"/>
        </w:trPr>
        <w:tc>
          <w:tcPr>
            <w:tcW w:w="3686" w:type="dxa"/>
            <w:tcBorders>
              <w:top w:val="single" w:sz="12" w:space="0" w:color="000000"/>
            </w:tcBorders>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NOME:</w:t>
            </w:r>
          </w:p>
        </w:tc>
        <w:tc>
          <w:tcPr>
            <w:tcW w:w="5797" w:type="dxa"/>
            <w:tcBorders>
              <w:top w:val="single" w:sz="12" w:space="0" w:color="000000"/>
            </w:tcBorders>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ART N.º :</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REGISTRO NACIONAL DO CREA N.º:</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CPF / CNPJ N.º:</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RG / INSC. EST. N.º:</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CADASTRO TÉCNICO ESTADUAL Nº:</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ENDEREÇO:</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shd w:val="clear" w:color="auto" w:fill="FFFFFF"/>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CEP N.º:</w:t>
            </w:r>
          </w:p>
        </w:tc>
        <w:tc>
          <w:tcPr>
            <w:tcW w:w="5797" w:type="dxa"/>
            <w:shd w:val="clear" w:color="auto" w:fill="FFFFFF"/>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TELEFONE N.º:/ CELULAR N.º:</w:t>
            </w:r>
          </w:p>
        </w:tc>
        <w:tc>
          <w:tcPr>
            <w:tcW w:w="5797" w:type="dxa"/>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tcBorders>
              <w:bottom w:val="single" w:sz="12"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E-MAIL:</w:t>
            </w:r>
          </w:p>
        </w:tc>
        <w:tc>
          <w:tcPr>
            <w:tcW w:w="5797" w:type="dxa"/>
            <w:tcBorders>
              <w:bottom w:val="single" w:sz="12" w:space="0" w:color="000000"/>
            </w:tcBorders>
            <w:vAlign w:val="center"/>
          </w:tcPr>
          <w:p w:rsidR="00040721" w:rsidRDefault="00040721">
            <w:pPr>
              <w:ind w:hanging="2"/>
              <w:rPr>
                <w:rFonts w:ascii="Nexa ligth" w:eastAsia="Nexa ligth" w:hAnsi="Nexa ligth" w:cs="Nexa ligth"/>
                <w:sz w:val="22"/>
                <w:szCs w:val="22"/>
              </w:rPr>
            </w:pPr>
          </w:p>
        </w:tc>
      </w:tr>
    </w:tbl>
    <w:p w:rsidR="00040721" w:rsidRDefault="00040721">
      <w:pPr>
        <w:widowControl w:val="0"/>
        <w:pBdr>
          <w:top w:val="nil"/>
          <w:left w:val="nil"/>
          <w:bottom w:val="nil"/>
          <w:right w:val="nil"/>
          <w:between w:val="nil"/>
        </w:pBdr>
        <w:spacing w:line="276" w:lineRule="auto"/>
        <w:ind w:firstLine="0"/>
        <w:rPr>
          <w:rFonts w:ascii="Nexa ligth" w:eastAsia="Nexa ligth" w:hAnsi="Nexa ligth" w:cs="Nexa ligth"/>
          <w:sz w:val="22"/>
          <w:szCs w:val="22"/>
        </w:rPr>
      </w:pPr>
    </w:p>
    <w:tbl>
      <w:tblPr>
        <w:tblStyle w:val="a6"/>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686"/>
        <w:gridCol w:w="5797"/>
      </w:tblGrid>
      <w:tr w:rsidR="00040721">
        <w:trPr>
          <w:trHeight w:val="397"/>
        </w:trPr>
        <w:tc>
          <w:tcPr>
            <w:tcW w:w="9483" w:type="dxa"/>
            <w:gridSpan w:val="2"/>
            <w:tcBorders>
              <w:top w:val="single" w:sz="12" w:space="0" w:color="000000"/>
              <w:left w:val="single" w:sz="12" w:space="0" w:color="000000"/>
              <w:bottom w:val="single" w:sz="12" w:space="0" w:color="000000"/>
              <w:right w:val="single" w:sz="12" w:space="0" w:color="000000"/>
            </w:tcBorders>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 xml:space="preserve">REPRESENTANTE LEGAL  -    </w:t>
            </w:r>
            <w:r>
              <w:rPr>
                <w:rFonts w:ascii="Nexa ligth" w:eastAsia="Nexa ligth" w:hAnsi="Nexa ligth" w:cs="Nexa ligth"/>
                <w:sz w:val="22"/>
                <w:szCs w:val="22"/>
              </w:rPr>
              <w:t>Somente quando for o caso</w:t>
            </w:r>
          </w:p>
        </w:tc>
      </w:tr>
      <w:tr w:rsidR="00040721">
        <w:trPr>
          <w:trHeight w:val="227"/>
        </w:trPr>
        <w:tc>
          <w:tcPr>
            <w:tcW w:w="3686" w:type="dxa"/>
            <w:tcBorders>
              <w:top w:val="single" w:sz="12" w:space="0" w:color="000000"/>
              <w:left w:val="single" w:sz="12" w:space="0" w:color="000000"/>
              <w:bottom w:val="single" w:sz="4" w:space="0" w:color="000000"/>
              <w:right w:val="single" w:sz="4"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CPF / CNPJ N.º:</w:t>
            </w:r>
          </w:p>
        </w:tc>
        <w:tc>
          <w:tcPr>
            <w:tcW w:w="5797" w:type="dxa"/>
            <w:tcBorders>
              <w:top w:val="single" w:sz="12" w:space="0" w:color="000000"/>
              <w:left w:val="single" w:sz="4" w:space="0" w:color="000000"/>
              <w:bottom w:val="single" w:sz="4" w:space="0" w:color="000000"/>
              <w:right w:val="single" w:sz="12"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tcBorders>
              <w:top w:val="single" w:sz="4" w:space="0" w:color="000000"/>
              <w:left w:val="single" w:sz="12" w:space="0" w:color="000000"/>
              <w:bottom w:val="single" w:sz="4" w:space="0" w:color="000000"/>
              <w:right w:val="single" w:sz="4"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RG N.º:</w:t>
            </w:r>
          </w:p>
        </w:tc>
        <w:tc>
          <w:tcPr>
            <w:tcW w:w="5797" w:type="dxa"/>
            <w:tcBorders>
              <w:top w:val="single" w:sz="4" w:space="0" w:color="000000"/>
              <w:left w:val="single" w:sz="4" w:space="0" w:color="000000"/>
              <w:bottom w:val="single" w:sz="4" w:space="0" w:color="000000"/>
              <w:right w:val="single" w:sz="12"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tcBorders>
              <w:top w:val="single" w:sz="4" w:space="0" w:color="000000"/>
              <w:left w:val="single" w:sz="12" w:space="0" w:color="000000"/>
              <w:bottom w:val="single" w:sz="4" w:space="0" w:color="000000"/>
              <w:right w:val="single" w:sz="4"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ENDEREÇO:</w:t>
            </w:r>
          </w:p>
        </w:tc>
        <w:tc>
          <w:tcPr>
            <w:tcW w:w="5797" w:type="dxa"/>
            <w:tcBorders>
              <w:top w:val="single" w:sz="4" w:space="0" w:color="000000"/>
              <w:left w:val="single" w:sz="4" w:space="0" w:color="000000"/>
              <w:bottom w:val="single" w:sz="4" w:space="0" w:color="000000"/>
              <w:right w:val="single" w:sz="12"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tcBorders>
              <w:top w:val="single" w:sz="4" w:space="0" w:color="000000"/>
              <w:left w:val="single" w:sz="12" w:space="0" w:color="000000"/>
              <w:bottom w:val="single" w:sz="4" w:space="0" w:color="000000"/>
              <w:right w:val="single" w:sz="4"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CEP N.º:</w:t>
            </w:r>
          </w:p>
        </w:tc>
        <w:tc>
          <w:tcPr>
            <w:tcW w:w="5797" w:type="dxa"/>
            <w:tcBorders>
              <w:top w:val="single" w:sz="4" w:space="0" w:color="000000"/>
              <w:left w:val="single" w:sz="4" w:space="0" w:color="000000"/>
              <w:bottom w:val="single" w:sz="4" w:space="0" w:color="000000"/>
              <w:right w:val="single" w:sz="12"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27"/>
        </w:trPr>
        <w:tc>
          <w:tcPr>
            <w:tcW w:w="3686" w:type="dxa"/>
            <w:tcBorders>
              <w:top w:val="single" w:sz="4" w:space="0" w:color="000000"/>
              <w:left w:val="single" w:sz="12" w:space="0" w:color="000000"/>
              <w:bottom w:val="single" w:sz="4" w:space="0" w:color="000000"/>
              <w:right w:val="single" w:sz="4"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TELEFONE N.º:/  CELULAR N.º:</w:t>
            </w:r>
          </w:p>
        </w:tc>
        <w:tc>
          <w:tcPr>
            <w:tcW w:w="5797" w:type="dxa"/>
            <w:tcBorders>
              <w:top w:val="single" w:sz="4" w:space="0" w:color="000000"/>
              <w:left w:val="single" w:sz="4" w:space="0" w:color="000000"/>
              <w:bottom w:val="single" w:sz="4" w:space="0" w:color="000000"/>
              <w:right w:val="single" w:sz="12" w:space="0" w:color="000000"/>
            </w:tcBorders>
            <w:vAlign w:val="center"/>
          </w:tcPr>
          <w:p w:rsidR="00040721" w:rsidRDefault="00040721">
            <w:pPr>
              <w:ind w:hanging="2"/>
              <w:rPr>
                <w:rFonts w:ascii="Nexa ligth" w:eastAsia="Nexa ligth" w:hAnsi="Nexa ligth" w:cs="Nexa ligth"/>
                <w:sz w:val="22"/>
                <w:szCs w:val="22"/>
              </w:rPr>
            </w:pPr>
          </w:p>
        </w:tc>
      </w:tr>
      <w:tr w:rsidR="00040721">
        <w:trPr>
          <w:trHeight w:val="284"/>
        </w:trPr>
        <w:tc>
          <w:tcPr>
            <w:tcW w:w="3686" w:type="dxa"/>
            <w:tcBorders>
              <w:top w:val="single" w:sz="4" w:space="0" w:color="000000"/>
              <w:left w:val="single" w:sz="12" w:space="0" w:color="000000"/>
              <w:bottom w:val="single" w:sz="12" w:space="0" w:color="000000"/>
              <w:right w:val="single" w:sz="4" w:space="0" w:color="000000"/>
            </w:tcBorders>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PROCURAÇÃO:</w:t>
            </w:r>
          </w:p>
        </w:tc>
        <w:tc>
          <w:tcPr>
            <w:tcW w:w="5797" w:type="dxa"/>
            <w:tcBorders>
              <w:top w:val="single" w:sz="4" w:space="0" w:color="000000"/>
              <w:left w:val="single" w:sz="4" w:space="0" w:color="000000"/>
              <w:bottom w:val="single" w:sz="12" w:space="0" w:color="000000"/>
              <w:right w:val="single" w:sz="12" w:space="0" w:color="000000"/>
            </w:tcBorders>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Anexar cópia do instrumento procuratório nos moldes da IN SEMA nº 01/2023</w:t>
            </w:r>
          </w:p>
        </w:tc>
      </w:tr>
    </w:tbl>
    <w:p w:rsidR="00040721" w:rsidRDefault="00040721">
      <w:pPr>
        <w:widowControl w:val="0"/>
        <w:pBdr>
          <w:top w:val="nil"/>
          <w:left w:val="nil"/>
          <w:bottom w:val="nil"/>
          <w:right w:val="nil"/>
          <w:between w:val="nil"/>
        </w:pBdr>
        <w:spacing w:line="276" w:lineRule="auto"/>
        <w:ind w:firstLine="0"/>
        <w:rPr>
          <w:rFonts w:ascii="Nexa ligth" w:eastAsia="Nexa ligth" w:hAnsi="Nexa ligth" w:cs="Nexa ligth"/>
          <w:i/>
          <w:iCs/>
          <w:sz w:val="22"/>
          <w:szCs w:val="22"/>
        </w:rPr>
      </w:pPr>
    </w:p>
    <w:tbl>
      <w:tblPr>
        <w:tblStyle w:val="a7"/>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671"/>
        <w:gridCol w:w="5812"/>
      </w:tblGrid>
      <w:tr w:rsidR="00040721">
        <w:trPr>
          <w:trHeight w:val="397"/>
        </w:trPr>
        <w:tc>
          <w:tcPr>
            <w:tcW w:w="9483" w:type="dxa"/>
            <w:gridSpan w:val="2"/>
            <w:tcBorders>
              <w:top w:val="single" w:sz="12" w:space="0" w:color="000000"/>
              <w:bottom w:val="single" w:sz="12" w:space="0" w:color="000000"/>
            </w:tcBorders>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CONSIDERAÇÕES SOBRE A ÁREA OBJETO DA SUPRESSÃO DA VEGETAÇÃO NATIVA</w:t>
            </w:r>
          </w:p>
        </w:tc>
      </w:tr>
      <w:tr w:rsidR="00040721">
        <w:trPr>
          <w:trHeight w:val="227"/>
        </w:trPr>
        <w:tc>
          <w:tcPr>
            <w:tcW w:w="3671" w:type="dxa"/>
            <w:tcBorders>
              <w:top w:val="single" w:sz="12"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OBJETIVOS:</w:t>
            </w:r>
          </w:p>
        </w:tc>
        <w:tc>
          <w:tcPr>
            <w:tcW w:w="5812" w:type="dxa"/>
            <w:tcBorders>
              <w:top w:val="single" w:sz="12" w:space="0" w:color="000000"/>
            </w:tcBorders>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i/>
                <w:iCs/>
                <w:sz w:val="22"/>
                <w:szCs w:val="22"/>
              </w:rPr>
              <w:t>Elencar de forma clara e sucinta.</w:t>
            </w:r>
          </w:p>
        </w:tc>
      </w:tr>
      <w:tr w:rsidR="00040721">
        <w:trPr>
          <w:trHeight w:val="478"/>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JUSTIFICATIVAS TÉCNICAS, ECONÔMICAS E SOCIAIS:</w:t>
            </w:r>
          </w:p>
        </w:tc>
        <w:tc>
          <w:tcPr>
            <w:tcW w:w="5812"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i/>
                <w:iCs/>
                <w:sz w:val="22"/>
                <w:szCs w:val="22"/>
              </w:rPr>
              <w:t>Informar de forma clara e sucinta a viabilidade técnica, econômica e social do projeto.</w:t>
            </w:r>
          </w:p>
        </w:tc>
      </w:tr>
      <w:tr w:rsidR="00040721">
        <w:trPr>
          <w:trHeight w:val="478"/>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TIPO DE ATIVIDADE A SER REALIZADA NA ÁREA OBJETO DA SUPRESSÃO AUTORIZADA:</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de forma clara e sucinta a atividade a ser realizada na área objeto da supressão autorizada.</w:t>
            </w:r>
          </w:p>
        </w:tc>
      </w:tr>
      <w:tr w:rsidR="00040721">
        <w:trPr>
          <w:trHeight w:val="478"/>
        </w:trPr>
        <w:tc>
          <w:tcPr>
            <w:tcW w:w="3671" w:type="dxa"/>
            <w:vAlign w:val="center"/>
          </w:tcPr>
          <w:p w:rsidR="00040721" w:rsidRDefault="00E819B4">
            <w:pPr>
              <w:ind w:left="2" w:hanging="2"/>
              <w:rPr>
                <w:rFonts w:ascii="Nexa ligth" w:eastAsia="Nexa ligth" w:hAnsi="Nexa ligth" w:cs="Nexa ligth"/>
                <w:sz w:val="22"/>
                <w:szCs w:val="22"/>
              </w:rPr>
            </w:pPr>
            <w:r>
              <w:rPr>
                <w:rFonts w:ascii="Nexa ligth" w:eastAsia="Nexa ligth" w:hAnsi="Nexa ligth" w:cs="Nexa ligth"/>
                <w:sz w:val="22"/>
                <w:szCs w:val="22"/>
              </w:rPr>
              <w:t>BIOMA:</w:t>
            </w:r>
          </w:p>
        </w:tc>
        <w:tc>
          <w:tcPr>
            <w:tcW w:w="5812" w:type="dxa"/>
            <w:vAlign w:val="center"/>
          </w:tcPr>
          <w:p w:rsidR="00040721" w:rsidRDefault="00E819B4">
            <w:pPr>
              <w:ind w:left="2" w:hanging="2"/>
              <w:rPr>
                <w:rFonts w:ascii="Nexa ligth" w:eastAsia="Nexa ligth" w:hAnsi="Nexa ligth" w:cs="Nexa ligth"/>
                <w:i/>
                <w:iCs/>
                <w:sz w:val="22"/>
                <w:szCs w:val="22"/>
              </w:rPr>
            </w:pPr>
            <w:r>
              <w:rPr>
                <w:rFonts w:ascii="Nexa ligth" w:eastAsia="Nexa ligth" w:hAnsi="Nexa ligth" w:cs="Nexa ligth"/>
                <w:i/>
                <w:iCs/>
                <w:sz w:val="22"/>
                <w:szCs w:val="22"/>
              </w:rPr>
              <w:t>Informar o bioma da área cuja supressão será autorizada.</w:t>
            </w:r>
          </w:p>
        </w:tc>
      </w:tr>
      <w:tr w:rsidR="00040721">
        <w:trPr>
          <w:trHeight w:val="478"/>
        </w:trPr>
        <w:tc>
          <w:tcPr>
            <w:tcW w:w="3671" w:type="dxa"/>
            <w:vAlign w:val="center"/>
          </w:tcPr>
          <w:p w:rsidR="00040721" w:rsidRDefault="00E819B4">
            <w:pPr>
              <w:ind w:left="2" w:hanging="2"/>
              <w:rPr>
                <w:rFonts w:ascii="Nexa ligth" w:eastAsia="Nexa ligth" w:hAnsi="Nexa ligth" w:cs="Nexa ligth"/>
                <w:sz w:val="22"/>
                <w:szCs w:val="22"/>
              </w:rPr>
            </w:pPr>
            <w:r>
              <w:rPr>
                <w:rFonts w:ascii="Nexa ligth" w:eastAsia="Nexa ligth" w:hAnsi="Nexa ligth" w:cs="Nexa ligth"/>
                <w:sz w:val="22"/>
                <w:szCs w:val="22"/>
              </w:rPr>
              <w:t>TIPO DE VEGETAÇÃO:</w:t>
            </w:r>
          </w:p>
        </w:tc>
        <w:tc>
          <w:tcPr>
            <w:tcW w:w="5812" w:type="dxa"/>
            <w:vAlign w:val="center"/>
          </w:tcPr>
          <w:p w:rsidR="00040721" w:rsidRDefault="00E819B4">
            <w:pPr>
              <w:ind w:left="2" w:hanging="2"/>
              <w:rPr>
                <w:rFonts w:ascii="Nexa ligth" w:eastAsia="Nexa ligth" w:hAnsi="Nexa ligth" w:cs="Nexa ligth"/>
                <w:i/>
                <w:iCs/>
                <w:sz w:val="22"/>
                <w:szCs w:val="22"/>
              </w:rPr>
            </w:pPr>
            <w:r>
              <w:rPr>
                <w:rFonts w:ascii="Nexa ligth" w:eastAsia="Nexa ligth" w:hAnsi="Nexa ligth" w:cs="Nexa ligth"/>
                <w:i/>
                <w:iCs/>
                <w:sz w:val="22"/>
                <w:szCs w:val="22"/>
              </w:rPr>
              <w:t>Informar o tipo de vegetação (fitofisionomia) da área cuja supressão será autorizada.</w:t>
            </w:r>
          </w:p>
        </w:tc>
      </w:tr>
      <w:tr w:rsidR="00040721">
        <w:trPr>
          <w:trHeight w:val="478"/>
        </w:trPr>
        <w:tc>
          <w:tcPr>
            <w:tcW w:w="3671" w:type="dxa"/>
            <w:vAlign w:val="center"/>
          </w:tcPr>
          <w:p w:rsidR="00040721" w:rsidRDefault="00E819B4">
            <w:pPr>
              <w:ind w:left="2" w:hanging="2"/>
              <w:rPr>
                <w:rFonts w:ascii="Nexa ligth" w:eastAsia="Nexa ligth" w:hAnsi="Nexa ligth" w:cs="Nexa ligth"/>
                <w:sz w:val="22"/>
                <w:szCs w:val="22"/>
              </w:rPr>
            </w:pPr>
            <w:r>
              <w:rPr>
                <w:rFonts w:ascii="Nexa ligth" w:eastAsia="Nexa ligth" w:hAnsi="Nexa ligth" w:cs="Nexa ligth"/>
                <w:sz w:val="22"/>
                <w:szCs w:val="22"/>
              </w:rPr>
              <w:t xml:space="preserve">ESPÉCIES VULNERÁVEIS: </w:t>
            </w:r>
          </w:p>
        </w:tc>
        <w:tc>
          <w:tcPr>
            <w:tcW w:w="5812" w:type="dxa"/>
            <w:vAlign w:val="center"/>
          </w:tcPr>
          <w:p w:rsidR="00040721" w:rsidRDefault="00E819B4">
            <w:pPr>
              <w:ind w:left="2" w:hanging="2"/>
              <w:rPr>
                <w:rFonts w:ascii="Nexa ligth" w:eastAsia="Nexa ligth" w:hAnsi="Nexa ligth" w:cs="Nexa ligth"/>
                <w:i/>
                <w:iCs/>
                <w:sz w:val="22"/>
                <w:szCs w:val="22"/>
              </w:rPr>
            </w:pPr>
            <w:r>
              <w:rPr>
                <w:rFonts w:ascii="Nexa ligth" w:eastAsia="Nexa ligth" w:hAnsi="Nexa ligth" w:cs="Nexa ligth"/>
                <w:i/>
                <w:iCs/>
                <w:sz w:val="22"/>
                <w:szCs w:val="22"/>
              </w:rPr>
              <w:t>Sim (   )    não (   )</w:t>
            </w:r>
          </w:p>
          <w:p w:rsidR="00040721" w:rsidRDefault="00E819B4">
            <w:pPr>
              <w:ind w:left="2" w:hanging="2"/>
              <w:rPr>
                <w:rFonts w:ascii="Nexa ligth" w:eastAsia="Nexa ligth" w:hAnsi="Nexa ligth" w:cs="Nexa ligth"/>
                <w:i/>
                <w:iCs/>
                <w:sz w:val="22"/>
                <w:szCs w:val="22"/>
              </w:rPr>
            </w:pPr>
            <w:r>
              <w:rPr>
                <w:rFonts w:ascii="Nexa ligth" w:eastAsia="Nexa ligth" w:hAnsi="Nexa ligth" w:cs="Nexa ligth"/>
                <w:i/>
                <w:iCs/>
                <w:sz w:val="22"/>
                <w:szCs w:val="22"/>
              </w:rPr>
              <w:t>Caso sim, informar as espécies encontradas  conforme  a lista nacional oficial de espécies da flora ameaçadas de extinção e normas específicas e as medidas de compensação e mitigação.</w:t>
            </w:r>
          </w:p>
        </w:tc>
      </w:tr>
      <w:tr w:rsidR="00040721">
        <w:trPr>
          <w:trHeight w:val="478"/>
        </w:trPr>
        <w:tc>
          <w:tcPr>
            <w:tcW w:w="3671" w:type="dxa"/>
            <w:vAlign w:val="center"/>
          </w:tcPr>
          <w:p w:rsidR="00040721" w:rsidRDefault="00E819B4">
            <w:pPr>
              <w:ind w:left="2" w:hanging="2"/>
              <w:rPr>
                <w:rFonts w:ascii="Nexa ligth" w:eastAsia="Nexa ligth" w:hAnsi="Nexa ligth" w:cs="Nexa ligth"/>
                <w:sz w:val="22"/>
                <w:szCs w:val="22"/>
              </w:rPr>
            </w:pPr>
            <w:r>
              <w:rPr>
                <w:rFonts w:ascii="Nexa ligth" w:eastAsia="Nexa ligth" w:hAnsi="Nexa ligth" w:cs="Nexa ligth"/>
                <w:sz w:val="22"/>
                <w:szCs w:val="22"/>
              </w:rPr>
              <w:t>ESPÉCIES PROIBIDAS DE CORTE:</w:t>
            </w:r>
          </w:p>
        </w:tc>
        <w:tc>
          <w:tcPr>
            <w:tcW w:w="5812" w:type="dxa"/>
            <w:vAlign w:val="center"/>
          </w:tcPr>
          <w:p w:rsidR="00040721" w:rsidRDefault="00E819B4">
            <w:pPr>
              <w:ind w:left="2" w:hanging="2"/>
              <w:rPr>
                <w:rFonts w:ascii="Nexa ligth" w:eastAsia="Nexa ligth" w:hAnsi="Nexa ligth" w:cs="Nexa ligth"/>
                <w:i/>
                <w:iCs/>
                <w:sz w:val="22"/>
                <w:szCs w:val="22"/>
              </w:rPr>
            </w:pPr>
            <w:r>
              <w:rPr>
                <w:rFonts w:ascii="Nexa ligth" w:eastAsia="Nexa ligth" w:hAnsi="Nexa ligth" w:cs="Nexa ligth"/>
                <w:i/>
                <w:iCs/>
                <w:sz w:val="22"/>
                <w:szCs w:val="22"/>
              </w:rPr>
              <w:t>Sim (   )    não (   )</w:t>
            </w:r>
          </w:p>
          <w:p w:rsidR="00040721" w:rsidRDefault="00E819B4">
            <w:pPr>
              <w:ind w:left="2" w:hanging="2"/>
              <w:rPr>
                <w:rFonts w:ascii="Nexa ligth" w:eastAsia="Nexa ligth" w:hAnsi="Nexa ligth" w:cs="Nexa ligth"/>
                <w:i/>
                <w:iCs/>
                <w:sz w:val="22"/>
                <w:szCs w:val="22"/>
              </w:rPr>
            </w:pPr>
            <w:r>
              <w:rPr>
                <w:rFonts w:ascii="Nexa ligth" w:eastAsia="Nexa ligth" w:hAnsi="Nexa ligth" w:cs="Nexa ligth"/>
                <w:i/>
                <w:iCs/>
                <w:sz w:val="22"/>
                <w:szCs w:val="22"/>
              </w:rPr>
              <w:t>Caso sim, informar as espécies encontradas  conforme  a lista nacional oficial de espécies da flora ameaçadas de extinção e normas específicas.</w:t>
            </w:r>
          </w:p>
        </w:tc>
      </w:tr>
      <w:tr w:rsidR="00040721">
        <w:trPr>
          <w:trHeight w:val="478"/>
        </w:trPr>
        <w:tc>
          <w:tcPr>
            <w:tcW w:w="3671" w:type="dxa"/>
            <w:vAlign w:val="center"/>
          </w:tcPr>
          <w:p w:rsidR="00040721" w:rsidRDefault="00E819B4">
            <w:pPr>
              <w:ind w:left="2" w:hanging="2"/>
              <w:rPr>
                <w:rFonts w:ascii="Nexa ligth" w:eastAsia="Nexa ligth" w:hAnsi="Nexa ligth" w:cs="Nexa ligth"/>
                <w:sz w:val="22"/>
                <w:szCs w:val="22"/>
              </w:rPr>
            </w:pPr>
            <w:r>
              <w:rPr>
                <w:rFonts w:ascii="Nexa ligth" w:eastAsia="Nexa ligth" w:hAnsi="Nexa ligth" w:cs="Nexa ligth"/>
                <w:sz w:val="22"/>
                <w:szCs w:val="22"/>
              </w:rPr>
              <w:t>FAUNA:</w:t>
            </w:r>
          </w:p>
        </w:tc>
        <w:tc>
          <w:tcPr>
            <w:tcW w:w="5812" w:type="dxa"/>
            <w:vAlign w:val="center"/>
          </w:tcPr>
          <w:p w:rsidR="00040721" w:rsidRDefault="00E819B4">
            <w:pPr>
              <w:ind w:left="2" w:hanging="2"/>
              <w:rPr>
                <w:rFonts w:ascii="Nexa ligth" w:eastAsia="Nexa ligth" w:hAnsi="Nexa ligth" w:cs="Nexa ligth"/>
                <w:sz w:val="22"/>
                <w:szCs w:val="22"/>
              </w:rPr>
            </w:pPr>
            <w:r>
              <w:rPr>
                <w:rFonts w:ascii="Nexa ligth" w:eastAsia="Nexa ligth" w:hAnsi="Nexa ligth" w:cs="Nexa ligth"/>
                <w:i/>
                <w:iCs/>
                <w:sz w:val="22"/>
                <w:szCs w:val="22"/>
              </w:rPr>
              <w:t>Informar toda a fauna encontrada na área.</w:t>
            </w:r>
          </w:p>
        </w:tc>
      </w:tr>
    </w:tbl>
    <w:p w:rsidR="00040721" w:rsidRDefault="00040721">
      <w:pPr>
        <w:widowControl w:val="0"/>
        <w:pBdr>
          <w:top w:val="nil"/>
          <w:left w:val="nil"/>
          <w:bottom w:val="nil"/>
          <w:right w:val="nil"/>
          <w:between w:val="nil"/>
        </w:pBdr>
        <w:spacing w:line="276" w:lineRule="auto"/>
        <w:ind w:firstLine="0"/>
        <w:rPr>
          <w:rFonts w:ascii="Nexa ligth" w:eastAsia="Nexa ligth" w:hAnsi="Nexa ligth" w:cs="Nexa ligth"/>
          <w:sz w:val="22"/>
          <w:szCs w:val="22"/>
        </w:rPr>
      </w:pPr>
    </w:p>
    <w:tbl>
      <w:tblPr>
        <w:tblStyle w:val="a8"/>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671"/>
        <w:gridCol w:w="5812"/>
      </w:tblGrid>
      <w:tr w:rsidR="00040721">
        <w:trPr>
          <w:trHeight w:val="397"/>
        </w:trPr>
        <w:tc>
          <w:tcPr>
            <w:tcW w:w="9483" w:type="dxa"/>
            <w:gridSpan w:val="2"/>
            <w:shd w:val="clear" w:color="auto" w:fill="C6D9F1"/>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b/>
                <w:bCs/>
                <w:sz w:val="22"/>
                <w:szCs w:val="22"/>
              </w:rPr>
              <w:t>QUANTIFICAÇÃO DE ÁREAS (ha)</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ÁREA TOTAL DO IMÓVEL RURAL:</w:t>
            </w:r>
          </w:p>
        </w:tc>
        <w:tc>
          <w:tcPr>
            <w:tcW w:w="5812"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i/>
                <w:iCs/>
                <w:sz w:val="22"/>
                <w:szCs w:val="22"/>
              </w:rPr>
              <w:t>Informar em hectares.</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ÁREA DA SUPRESSÃO DE VEGETAÇÃO NATIVA:</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a área autorizada para supressão em hectares.</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PERCENTUAL DA SUPRESSÃO DE VEGETAÇÃO NATIVA:</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a área autorizada para supressão em percentual, em relação à área total do imóvel rural;</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ÁREA DE RESERVA LEGAL:</w:t>
            </w:r>
          </w:p>
        </w:tc>
        <w:tc>
          <w:tcPr>
            <w:tcW w:w="5812"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i/>
                <w:iCs/>
                <w:sz w:val="22"/>
                <w:szCs w:val="22"/>
              </w:rPr>
              <w:t>Informar em hectares.</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 xml:space="preserve">PERCENTUAL REMANESCENTE DE VEGETAÇÃO NATIVA EM RESERVA LEGAL: </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Indicar o percentual remanescente de vegetação nativa existente na área de reserva legal do imóvel, conforme previsto na legislação aplicável, em relação à área total do imóvel rural.</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ÁREA DE APP:</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em hectares.</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 xml:space="preserve">PERCENTUAL REMANESCENTE DE VEGETAÇÃO NATIVA EM APP: </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Indicar o percentual remanescente de vegetação nativa existente na área de APP do imóvel, conforme previsto na legislação aplicável, em relação à área total do imóvel rural.</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DEMAIS ÁREAS PROTEGIDAS POR LEI:</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Informar em hectares.</w:t>
            </w:r>
          </w:p>
        </w:tc>
      </w:tr>
      <w:tr w:rsidR="00040721">
        <w:trPr>
          <w:trHeight w:val="227"/>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PERCENTUAL REMANESCENTE DE VEGETAÇÃO NATIVA NAS DEMAIS ÁREAS PROTEGIDAS POR LEI:</w:t>
            </w:r>
          </w:p>
        </w:tc>
        <w:tc>
          <w:tcPr>
            <w:tcW w:w="5812" w:type="dxa"/>
            <w:vAlign w:val="center"/>
          </w:tcPr>
          <w:p w:rsidR="00040721" w:rsidRDefault="00E819B4">
            <w:pPr>
              <w:ind w:hanging="2"/>
              <w:rPr>
                <w:rFonts w:ascii="Nexa ligth" w:eastAsia="Nexa ligth" w:hAnsi="Nexa ligth" w:cs="Nexa ligth"/>
                <w:i/>
                <w:iCs/>
                <w:sz w:val="22"/>
                <w:szCs w:val="22"/>
              </w:rPr>
            </w:pPr>
            <w:r>
              <w:rPr>
                <w:rFonts w:ascii="Nexa ligth" w:eastAsia="Nexa ligth" w:hAnsi="Nexa ligth" w:cs="Nexa ligth"/>
                <w:i/>
                <w:iCs/>
                <w:sz w:val="22"/>
                <w:szCs w:val="22"/>
              </w:rPr>
              <w:t>Indicar o percentual remanescente de vegetação nativa existente na área de demais áreas protegidas por lei, conforme previsto na legislação aplicável, em relação à área total do imóvel rural.</w:t>
            </w:r>
          </w:p>
        </w:tc>
      </w:tr>
      <w:tr w:rsidR="00040721">
        <w:trPr>
          <w:trHeight w:val="510"/>
        </w:trPr>
        <w:tc>
          <w:tcPr>
            <w:tcW w:w="3671" w:type="dxa"/>
            <w:vAlign w:val="center"/>
          </w:tcPr>
          <w:p w:rsidR="00040721" w:rsidRDefault="00E819B4">
            <w:pPr>
              <w:ind w:hanging="2"/>
              <w:rPr>
                <w:rFonts w:ascii="Nexa ligth" w:eastAsia="Nexa ligth" w:hAnsi="Nexa ligth" w:cs="Nexa ligth"/>
                <w:sz w:val="22"/>
                <w:szCs w:val="22"/>
              </w:rPr>
            </w:pPr>
            <w:r>
              <w:rPr>
                <w:rFonts w:ascii="Nexa ligth" w:eastAsia="Nexa ligth" w:hAnsi="Nexa ligth" w:cs="Nexa ligth"/>
                <w:sz w:val="22"/>
                <w:szCs w:val="22"/>
              </w:rPr>
              <w:t>EXPLORAÇÃO SELETIVA SEM AUTORIZAÇÃO SOBRE ÁREA DO PEF: (área / ano)</w:t>
            </w:r>
          </w:p>
        </w:tc>
        <w:tc>
          <w:tcPr>
            <w:tcW w:w="5812" w:type="dxa"/>
            <w:vAlign w:val="center"/>
          </w:tcPr>
          <w:p w:rsidR="00040721" w:rsidRDefault="00E819B4">
            <w:pPr>
              <w:spacing w:line="360" w:lineRule="auto"/>
              <w:ind w:hanging="2"/>
              <w:rPr>
                <w:rFonts w:ascii="Nexa ligth" w:eastAsia="Nexa ligth" w:hAnsi="Nexa ligth" w:cs="Nexa ligth"/>
                <w:sz w:val="22"/>
                <w:szCs w:val="22"/>
              </w:rPr>
            </w:pPr>
            <w:r>
              <w:rPr>
                <w:rFonts w:ascii="Nexa ligth" w:eastAsia="Nexa ligth" w:hAnsi="Nexa ligth" w:cs="Nexa ligth"/>
                <w:i/>
                <w:iCs/>
                <w:sz w:val="22"/>
                <w:szCs w:val="22"/>
              </w:rPr>
              <w:t>Informar a área e o ano de ocorrência.</w:t>
            </w:r>
          </w:p>
        </w:tc>
      </w:tr>
    </w:tbl>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p w:rsidR="00040721" w:rsidRDefault="00040721">
      <w:pPr>
        <w:pBdr>
          <w:top w:val="nil"/>
          <w:left w:val="nil"/>
          <w:bottom w:val="nil"/>
          <w:right w:val="nil"/>
          <w:between w:val="nil"/>
        </w:pBdr>
        <w:spacing w:line="276" w:lineRule="auto"/>
        <w:ind w:hanging="2"/>
        <w:jc w:val="center"/>
        <w:rPr>
          <w:rFonts w:ascii="Nexa ligth" w:eastAsia="Nexa ligth" w:hAnsi="Nexa ligth" w:cs="Nexa ligth"/>
          <w:b/>
          <w:bCs/>
          <w:sz w:val="22"/>
          <w:szCs w:val="22"/>
        </w:rPr>
      </w:pPr>
    </w:p>
    <w:p w:rsidR="00040721" w:rsidRDefault="00040721">
      <w:pPr>
        <w:pBdr>
          <w:top w:val="nil"/>
          <w:left w:val="nil"/>
          <w:bottom w:val="nil"/>
          <w:right w:val="nil"/>
          <w:between w:val="nil"/>
        </w:pBdr>
        <w:spacing w:line="276" w:lineRule="auto"/>
        <w:ind w:hanging="2"/>
        <w:jc w:val="both"/>
        <w:rPr>
          <w:rFonts w:ascii="Nexa ligth" w:eastAsia="Nexa ligth" w:hAnsi="Nexa ligth" w:cs="Nexa ligth"/>
          <w:sz w:val="22"/>
          <w:szCs w:val="22"/>
        </w:rPr>
      </w:pPr>
    </w:p>
    <w:sectPr w:rsidR="00040721">
      <w:headerReference w:type="even" r:id="rId8"/>
      <w:headerReference w:type="default" r:id="rId9"/>
      <w:footerReference w:type="even" r:id="rId10"/>
      <w:footerReference w:type="default" r:id="rId11"/>
      <w:headerReference w:type="first" r:id="rId12"/>
      <w:footerReference w:type="first" r:id="rId13"/>
      <w:pgSz w:w="11900" w:h="16840"/>
      <w:pgMar w:top="2552"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9B4" w:rsidRDefault="00E819B4">
      <w:r>
        <w:separator/>
      </w:r>
    </w:p>
  </w:endnote>
  <w:endnote w:type="continuationSeparator" w:id="0">
    <w:p w:rsidR="00E819B4" w:rsidRDefault="00E8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xa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C8E0B805-F470-4F38-BD0F-E51FD112C2EC}"/>
    <w:embedBold r:id="rId2" w:fontKey="{C629B07C-05FF-40F1-BBF7-E41DC09D6D85}"/>
  </w:font>
  <w:font w:name="Verdana">
    <w:panose1 w:val="020B0604030504040204"/>
    <w:charset w:val="00"/>
    <w:family w:val="swiss"/>
    <w:pitch w:val="variable"/>
    <w:sig w:usb0="A00006FF" w:usb1="4000205B" w:usb2="00000010" w:usb3="00000000" w:csb0="0000019F" w:csb1="00000000"/>
    <w:embedItalic r:id="rId3" w:fontKey="{2CD730DF-6CF3-4046-BC7A-F93EA8CB2CC1}"/>
  </w:font>
  <w:font w:name="Georgia">
    <w:panose1 w:val="02040502050405020303"/>
    <w:charset w:val="00"/>
    <w:family w:val="roman"/>
    <w:pitch w:val="variable"/>
    <w:sig w:usb0="00000287" w:usb1="00000000" w:usb2="00000000" w:usb3="00000000" w:csb0="0000009F" w:csb1="00000000"/>
    <w:embedItalic r:id="rId4" w:fontKey="{67764765-5A8A-4738-BAE3-8DD24700B04E}"/>
  </w:font>
  <w:font w:name="Nexa ligth">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embedRegular r:id="rId5" w:fontKey="{B4B50546-8DAB-4231-91E3-82DEC3E1E43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21" w:rsidRDefault="00040721">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21" w:rsidRDefault="00E819B4">
    <w:pPr>
      <w:pBdr>
        <w:top w:val="single" w:sz="4" w:space="1" w:color="000000"/>
        <w:left w:val="nil"/>
        <w:bottom w:val="nil"/>
        <w:right w:val="nil"/>
        <w:between w:val="nil"/>
      </w:pBdr>
      <w:tabs>
        <w:tab w:val="right" w:pos="9072"/>
      </w:tabs>
      <w:ind w:right="-433" w:hanging="2"/>
      <w:jc w:val="both"/>
      <w:rPr>
        <w:rFonts w:ascii="Calibri" w:eastAsia="Calibri" w:hAnsi="Calibri" w:cs="Calibri"/>
        <w:color w:val="000000"/>
        <w:sz w:val="16"/>
        <w:szCs w:val="16"/>
      </w:rPr>
    </w:pPr>
    <w:r>
      <w:rPr>
        <w:rFonts w:ascii="Calibri" w:eastAsia="Calibri" w:hAnsi="Calibri" w:cs="Calibri"/>
        <w:color w:val="000000"/>
        <w:sz w:val="16"/>
        <w:szCs w:val="16"/>
      </w:rPr>
      <w:tab/>
    </w:r>
    <w:r>
      <w:rPr>
        <w:rFonts w:ascii="Calibri" w:eastAsia="Calibri" w:hAnsi="Calibri" w:cs="Calibri"/>
        <w:color w:val="000000"/>
        <w:sz w:val="16"/>
        <w:szCs w:val="16"/>
      </w:rPr>
      <w:tab/>
      <w:t xml:space="preserve">Página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sidR="00774207">
      <w:rPr>
        <w:rFonts w:ascii="Calibri" w:eastAsia="Calibri" w:hAnsi="Calibri" w:cs="Calibri"/>
        <w:noProof/>
        <w:color w:val="000000"/>
        <w:sz w:val="16"/>
        <w:szCs w:val="16"/>
      </w:rPr>
      <w:t>2</w:t>
    </w:r>
    <w:r>
      <w:rPr>
        <w:rFonts w:ascii="Calibri" w:eastAsia="Calibri" w:hAnsi="Calibri" w:cs="Calibri"/>
        <w:color w:val="000000"/>
        <w:sz w:val="16"/>
        <w:szCs w:val="16"/>
      </w:rPr>
      <w:fldChar w:fldCharType="end"/>
    </w:r>
    <w:r>
      <w:rPr>
        <w:rFonts w:ascii="Calibri" w:eastAsia="Calibri" w:hAnsi="Calibri" w:cs="Calibri"/>
        <w:color w:val="000000"/>
        <w:sz w:val="16"/>
        <w:szCs w:val="16"/>
      </w:rPr>
      <w:t xml:space="preserve"> de </w:t>
    </w:r>
    <w:r>
      <w:rPr>
        <w:color w:val="000000"/>
      </w:rPr>
      <w:fldChar w:fldCharType="begin"/>
    </w:r>
    <w:r>
      <w:rPr>
        <w:color w:val="000000"/>
      </w:rPr>
      <w:instrText>NUMPAGES</w:instrText>
    </w:r>
    <w:r>
      <w:rPr>
        <w:color w:val="000000"/>
      </w:rPr>
      <w:fldChar w:fldCharType="separate"/>
    </w:r>
    <w:r w:rsidR="00774207">
      <w:rPr>
        <w:noProof/>
        <w:color w:val="000000"/>
      </w:rPr>
      <w:t>14</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21" w:rsidRDefault="00040721">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9B4" w:rsidRDefault="00E819B4">
      <w:r>
        <w:separator/>
      </w:r>
    </w:p>
  </w:footnote>
  <w:footnote w:type="continuationSeparator" w:id="0">
    <w:p w:rsidR="00E819B4" w:rsidRDefault="00E819B4">
      <w:r>
        <w:continuationSeparator/>
      </w:r>
    </w:p>
  </w:footnote>
  <w:footnote w:id="1">
    <w:p w:rsidR="00040721" w:rsidRDefault="00E819B4">
      <w:pPr>
        <w:pBdr>
          <w:top w:val="nil"/>
          <w:left w:val="nil"/>
          <w:bottom w:val="nil"/>
          <w:right w:val="nil"/>
          <w:between w:val="nil"/>
        </w:pBdr>
        <w:ind w:hanging="2"/>
        <w:rPr>
          <w:color w:val="000000"/>
          <w:sz w:val="20"/>
          <w:szCs w:val="20"/>
        </w:rPr>
      </w:pPr>
      <w:r>
        <w:rPr>
          <w:vertAlign w:val="superscript"/>
        </w:rPr>
        <w:footnoteRef/>
      </w:r>
      <w:r>
        <w:rPr>
          <w:color w:val="000000"/>
          <w:sz w:val="20"/>
          <w:szCs w:val="20"/>
        </w:rPr>
        <w:t xml:space="preserve"> Atualizado em </w:t>
      </w:r>
      <w:r w:rsidR="00774207">
        <w:rPr>
          <w:sz w:val="20"/>
          <w:szCs w:val="20"/>
        </w:rPr>
        <w:t>01/09</w:t>
      </w:r>
      <w:r>
        <w:rPr>
          <w:color w:val="000000"/>
          <w:sz w:val="20"/>
          <w:szCs w:val="20"/>
        </w:rPr>
        <w:t>/2026</w:t>
      </w:r>
      <w:bookmarkStart w:id="0" w:name="_GoBack"/>
      <w:bookmarkEnd w:id="0"/>
    </w:p>
  </w:footnote>
  <w:footnote w:id="2">
    <w:p w:rsidR="00040721" w:rsidRDefault="00E819B4">
      <w:pPr>
        <w:pBdr>
          <w:top w:val="nil"/>
          <w:left w:val="nil"/>
          <w:bottom w:val="nil"/>
          <w:right w:val="nil"/>
          <w:between w:val="nil"/>
        </w:pBdr>
        <w:ind w:hanging="2"/>
        <w:rPr>
          <w:color w:val="000000"/>
          <w:sz w:val="20"/>
          <w:szCs w:val="20"/>
        </w:rPr>
      </w:pPr>
      <w:r>
        <w:rPr>
          <w:vertAlign w:val="superscript"/>
        </w:rPr>
        <w:footnoteRef/>
      </w:r>
      <w:r>
        <w:rPr>
          <w:color w:val="000000"/>
          <w:sz w:val="20"/>
          <w:szCs w:val="20"/>
        </w:rPr>
        <w:t xml:space="preserve"> SANTOS, H. G., et. al. Sistema brasileiro de classificação de solos. 6 ed. Revisada e Ampliada. Brasília: Embrapa, 2025. 393 p.</w:t>
      </w:r>
    </w:p>
  </w:footnote>
  <w:footnote w:id="3">
    <w:p w:rsidR="00040721" w:rsidRDefault="00E819B4">
      <w:pPr>
        <w:pBdr>
          <w:top w:val="nil"/>
          <w:left w:val="nil"/>
          <w:bottom w:val="nil"/>
          <w:right w:val="nil"/>
          <w:between w:val="nil"/>
        </w:pBdr>
        <w:ind w:hanging="2"/>
        <w:rPr>
          <w:color w:val="000000"/>
          <w:sz w:val="20"/>
          <w:szCs w:val="20"/>
        </w:rPr>
      </w:pPr>
      <w:r>
        <w:rPr>
          <w:vertAlign w:val="superscript"/>
        </w:rPr>
        <w:footnoteRef/>
      </w:r>
      <w:r>
        <w:rPr>
          <w:color w:val="000000"/>
          <w:sz w:val="20"/>
          <w:szCs w:val="20"/>
        </w:rPr>
        <w:t xml:space="preserve"> </w:t>
      </w:r>
      <w:r>
        <w:rPr>
          <w:rFonts w:ascii="Nexa ligth" w:eastAsia="Nexa ligth" w:hAnsi="Nexa ligth" w:cs="Nexa ligth"/>
          <w:color w:val="000000"/>
          <w:sz w:val="20"/>
          <w:szCs w:val="20"/>
        </w:rPr>
        <w:t>IBGE. Instituto Brasileiro de Geografia e Estatística. Manual técnico de pedologia. 3. ed. Rio de Janeiro: IBGE, 2015. 430 p. il.</w:t>
      </w:r>
    </w:p>
  </w:footnote>
  <w:footnote w:id="4">
    <w:p w:rsidR="00040721" w:rsidRDefault="00E819B4">
      <w:pPr>
        <w:pBdr>
          <w:top w:val="nil"/>
          <w:left w:val="nil"/>
          <w:bottom w:val="nil"/>
          <w:right w:val="nil"/>
          <w:between w:val="nil"/>
        </w:pBdr>
        <w:ind w:hanging="2"/>
        <w:rPr>
          <w:color w:val="000000"/>
          <w:sz w:val="20"/>
          <w:szCs w:val="20"/>
        </w:rPr>
      </w:pPr>
      <w:r>
        <w:rPr>
          <w:vertAlign w:val="superscript"/>
        </w:rPr>
        <w:footnoteRef/>
      </w:r>
      <w:r>
        <w:rPr>
          <w:color w:val="000000"/>
          <w:sz w:val="20"/>
          <w:szCs w:val="20"/>
        </w:rPr>
        <w:t xml:space="preserve"> </w:t>
      </w:r>
      <w:r>
        <w:rPr>
          <w:rFonts w:ascii="Nexa ligth" w:eastAsia="Nexa ligth" w:hAnsi="Nexa ligth" w:cs="Nexa ligth"/>
          <w:color w:val="000000"/>
          <w:sz w:val="20"/>
          <w:szCs w:val="20"/>
        </w:rPr>
        <w:t>SANTOS, H. G.; HOCHMÜLLER, D. P.; CAVALCANTI, A. C.; RÊGO, R. S.; KER, J. C.; PANOSO, L. A.; AMARAL, J. A. M. Procedimentos normativos de levantamentos pedológicos. Brasília, DF: EMBRAPA - SPI, 1995. 113 p. ISBN 85-85007-58-3.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21" w:rsidRDefault="00040721">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21" w:rsidRDefault="00E819B4">
    <w:pPr>
      <w:pBdr>
        <w:top w:val="nil"/>
        <w:left w:val="nil"/>
        <w:bottom w:val="nil"/>
        <w:right w:val="nil"/>
        <w:between w:val="nil"/>
      </w:pBdr>
      <w:ind w:hanging="2"/>
      <w:rPr>
        <w:color w:val="000000"/>
      </w:rPr>
    </w:pPr>
    <w:r>
      <w:rPr>
        <w:noProof/>
      </w:rPr>
      <w:drawing>
        <wp:inline distT="0" distB="0" distL="0" distR="0">
          <wp:extent cx="5750560" cy="864166"/>
          <wp:effectExtent l="0" t="0" r="0" b="0"/>
          <wp:docPr id="1" name="image1.png" descr="C:\Users\otaviomendes\AppData\Local\Microsoft\Windows\INetCache\Content.MSO\459F74EC.tmp"/>
          <wp:cNvGraphicFramePr/>
          <a:graphic xmlns:a="http://schemas.openxmlformats.org/drawingml/2006/main">
            <a:graphicData uri="http://schemas.openxmlformats.org/drawingml/2006/picture">
              <pic:pic xmlns:pic="http://schemas.openxmlformats.org/drawingml/2006/picture">
                <pic:nvPicPr>
                  <pic:cNvPr id="0" name="image1.png" descr="C:\Users\otaviomendes\AppData\Local\Microsoft\Windows\INetCache\Content.MSO\459F74EC.tmp"/>
                  <pic:cNvPicPr preferRelativeResize="0"/>
                </pic:nvPicPr>
                <pic:blipFill>
                  <a:blip r:embed="rId1"/>
                  <a:srcRect/>
                  <a:stretch>
                    <a:fillRect/>
                  </a:stretch>
                </pic:blipFill>
                <pic:spPr>
                  <a:xfrm>
                    <a:off x="0" y="0"/>
                    <a:ext cx="5750560" cy="86416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21" w:rsidRDefault="00040721">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D49"/>
    <w:multiLevelType w:val="multilevel"/>
    <w:tmpl w:val="8F6830E6"/>
    <w:lvl w:ilvl="0">
      <w:start w:val="1"/>
      <w:numFmt w:val="upperRoman"/>
      <w:lvlText w:val="%1."/>
      <w:lvlJc w:val="righ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 w15:restartNumberingAfterBreak="0">
    <w:nsid w:val="142A348A"/>
    <w:multiLevelType w:val="multilevel"/>
    <w:tmpl w:val="C5DAF8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27900"/>
    <w:multiLevelType w:val="multilevel"/>
    <w:tmpl w:val="85E0749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6C249C3"/>
    <w:multiLevelType w:val="multilevel"/>
    <w:tmpl w:val="25C43A16"/>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8576699"/>
    <w:multiLevelType w:val="multilevel"/>
    <w:tmpl w:val="8C8AFE7C"/>
    <w:lvl w:ilvl="0">
      <w:start w:val="5"/>
      <w:numFmt w:val="decimal"/>
      <w:lvlText w:val="%1."/>
      <w:lvlJc w:val="left"/>
      <w:pPr>
        <w:ind w:left="570" w:hanging="570"/>
      </w:pPr>
      <w:rPr>
        <w:vertAlign w:val="baseline"/>
      </w:rPr>
    </w:lvl>
    <w:lvl w:ilvl="1">
      <w:start w:val="2"/>
      <w:numFmt w:val="decimal"/>
      <w:lvlText w:val="%1.%2."/>
      <w:lvlJc w:val="left"/>
      <w:pPr>
        <w:ind w:left="570" w:hanging="570"/>
      </w:pPr>
      <w:rPr>
        <w:vertAlign w:val="baseline"/>
      </w:rPr>
    </w:lvl>
    <w:lvl w:ilvl="2">
      <w:start w:val="1"/>
      <w:numFmt w:val="lowerLetter"/>
      <w:lvlText w:val="%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18A8168B"/>
    <w:multiLevelType w:val="multilevel"/>
    <w:tmpl w:val="1D5A6D9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EAF5413"/>
    <w:multiLevelType w:val="multilevel"/>
    <w:tmpl w:val="644E6B24"/>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226525AA"/>
    <w:multiLevelType w:val="multilevel"/>
    <w:tmpl w:val="58E26686"/>
    <w:lvl w:ilvl="0">
      <w:start w:val="1"/>
      <w:numFmt w:val="upperRoman"/>
      <w:lvlText w:val="%1."/>
      <w:lvlJc w:val="right"/>
      <w:pPr>
        <w:ind w:left="1439" w:hanging="360"/>
      </w:p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8" w15:restartNumberingAfterBreak="0">
    <w:nsid w:val="2AEC5FE8"/>
    <w:multiLevelType w:val="multilevel"/>
    <w:tmpl w:val="3D10000E"/>
    <w:lvl w:ilvl="0">
      <w:start w:val="4"/>
      <w:numFmt w:val="decimal"/>
      <w:lvlText w:val="%1."/>
      <w:lvlJc w:val="left"/>
      <w:pPr>
        <w:ind w:left="570" w:hanging="570"/>
      </w:pPr>
    </w:lvl>
    <w:lvl w:ilvl="1">
      <w:start w:val="2"/>
      <w:numFmt w:val="decimal"/>
      <w:lvlText w:val="%1.%2."/>
      <w:lvlJc w:val="left"/>
      <w:pPr>
        <w:ind w:left="570" w:hanging="570"/>
      </w:pPr>
    </w:lvl>
    <w:lvl w:ilvl="2">
      <w:start w:val="1"/>
      <w:numFmt w:val="lowerLetter"/>
      <w:lvlText w:val="%3)"/>
      <w:lvlJc w:val="left"/>
      <w:pPr>
        <w:ind w:left="720" w:hanging="720"/>
      </w:pPr>
      <w:rPr>
        <w:rFonts w:ascii="Nexa Light" w:eastAsia="Nexa Light" w:hAnsi="Nexa Light" w:cs="Nexa Ligh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BD964A5"/>
    <w:multiLevelType w:val="multilevel"/>
    <w:tmpl w:val="D8E0A97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2EF062AB"/>
    <w:multiLevelType w:val="multilevel"/>
    <w:tmpl w:val="225EBF7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72E1EBB"/>
    <w:multiLevelType w:val="multilevel"/>
    <w:tmpl w:val="309C230E"/>
    <w:lvl w:ilvl="0">
      <w:start w:val="4"/>
      <w:numFmt w:val="decimal"/>
      <w:lvlText w:val="%1."/>
      <w:lvlJc w:val="left"/>
      <w:pPr>
        <w:ind w:left="570" w:hanging="570"/>
      </w:pPr>
    </w:lvl>
    <w:lvl w:ilvl="1">
      <w:start w:val="1"/>
      <w:numFmt w:val="decimal"/>
      <w:lvlText w:val="%1.%2."/>
      <w:lvlJc w:val="left"/>
      <w:pPr>
        <w:ind w:left="570" w:hanging="570"/>
      </w:pPr>
    </w:lvl>
    <w:lvl w:ilvl="2">
      <w:start w:val="1"/>
      <w:numFmt w:val="lowerLetter"/>
      <w:lvlText w:val="%3)"/>
      <w:lvlJc w:val="left"/>
      <w:pPr>
        <w:ind w:left="720" w:hanging="720"/>
      </w:pPr>
      <w:rPr>
        <w:rFonts w:ascii="Nexa Light" w:eastAsia="Nexa Light" w:hAnsi="Nexa Light" w:cs="Nexa Ligh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3B6146EE"/>
    <w:multiLevelType w:val="multilevel"/>
    <w:tmpl w:val="D012CC62"/>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3E5D2614"/>
    <w:multiLevelType w:val="multilevel"/>
    <w:tmpl w:val="2D1ACABA"/>
    <w:lvl w:ilvl="0">
      <w:start w:val="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48F17BFA"/>
    <w:multiLevelType w:val="multilevel"/>
    <w:tmpl w:val="1480F818"/>
    <w:lvl w:ilvl="0">
      <w:start w:val="1"/>
      <w:numFmt w:val="lowerLetter"/>
      <w:lvlText w:val="%1)"/>
      <w:lvlJc w:val="left"/>
      <w:pPr>
        <w:ind w:left="5443" w:hanging="480"/>
      </w:pPr>
    </w:lvl>
    <w:lvl w:ilvl="1">
      <w:start w:val="1"/>
      <w:numFmt w:val="decimal"/>
      <w:lvlText w:val="%1.%2"/>
      <w:lvlJc w:val="left"/>
      <w:pPr>
        <w:ind w:left="5443" w:hanging="480"/>
      </w:pPr>
    </w:lvl>
    <w:lvl w:ilvl="2">
      <w:start w:val="1"/>
      <w:numFmt w:val="decimal"/>
      <w:lvlText w:val="%1.%2.%3"/>
      <w:lvlJc w:val="left"/>
      <w:pPr>
        <w:ind w:left="5683" w:hanging="720"/>
      </w:pPr>
    </w:lvl>
    <w:lvl w:ilvl="3">
      <w:start w:val="1"/>
      <w:numFmt w:val="decimal"/>
      <w:lvlText w:val="%1.%2.%3.%4"/>
      <w:lvlJc w:val="left"/>
      <w:pPr>
        <w:ind w:left="5683" w:hanging="720"/>
      </w:pPr>
    </w:lvl>
    <w:lvl w:ilvl="4">
      <w:start w:val="1"/>
      <w:numFmt w:val="decimal"/>
      <w:lvlText w:val="%1.%2.%3.%4.%5"/>
      <w:lvlJc w:val="left"/>
      <w:pPr>
        <w:ind w:left="6043" w:hanging="1080"/>
      </w:pPr>
    </w:lvl>
    <w:lvl w:ilvl="5">
      <w:start w:val="1"/>
      <w:numFmt w:val="decimal"/>
      <w:lvlText w:val="%1.%2.%3.%4.%5.%6"/>
      <w:lvlJc w:val="left"/>
      <w:pPr>
        <w:ind w:left="6043" w:hanging="1080"/>
      </w:pPr>
    </w:lvl>
    <w:lvl w:ilvl="6">
      <w:start w:val="1"/>
      <w:numFmt w:val="decimal"/>
      <w:lvlText w:val="%1.%2.%3.%4.%5.%6.%7"/>
      <w:lvlJc w:val="left"/>
      <w:pPr>
        <w:ind w:left="6403" w:hanging="1440"/>
      </w:pPr>
    </w:lvl>
    <w:lvl w:ilvl="7">
      <w:start w:val="1"/>
      <w:numFmt w:val="decimal"/>
      <w:lvlText w:val="%1.%2.%3.%4.%5.%6.%7.%8"/>
      <w:lvlJc w:val="left"/>
      <w:pPr>
        <w:ind w:left="6403" w:hanging="1440"/>
      </w:pPr>
    </w:lvl>
    <w:lvl w:ilvl="8">
      <w:start w:val="1"/>
      <w:numFmt w:val="decimal"/>
      <w:lvlText w:val="%1.%2.%3.%4.%5.%6.%7.%8.%9"/>
      <w:lvlJc w:val="left"/>
      <w:pPr>
        <w:ind w:left="6403" w:hanging="1440"/>
      </w:pPr>
    </w:lvl>
  </w:abstractNum>
  <w:abstractNum w:abstractNumId="15" w15:restartNumberingAfterBreak="0">
    <w:nsid w:val="4D771EB6"/>
    <w:multiLevelType w:val="multilevel"/>
    <w:tmpl w:val="A7C6E374"/>
    <w:lvl w:ilvl="0">
      <w:start w:val="3"/>
      <w:numFmt w:val="decimal"/>
      <w:lvlText w:val="%1"/>
      <w:lvlJc w:val="left"/>
      <w:pPr>
        <w:ind w:left="465" w:hanging="465"/>
      </w:pPr>
      <w:rPr>
        <w:vertAlign w:val="baseline"/>
      </w:rPr>
    </w:lvl>
    <w:lvl w:ilvl="1">
      <w:start w:val="4"/>
      <w:numFmt w:val="decimal"/>
      <w:lvlText w:val="%1.%2"/>
      <w:lvlJc w:val="left"/>
      <w:pPr>
        <w:ind w:left="748" w:hanging="465"/>
      </w:pPr>
      <w:rPr>
        <w:vertAlign w:val="baseline"/>
      </w:rPr>
    </w:lvl>
    <w:lvl w:ilvl="2">
      <w:start w:val="1"/>
      <w:numFmt w:val="lowerLetter"/>
      <w:lvlText w:val="%3)"/>
      <w:lvlJc w:val="left"/>
      <w:pPr>
        <w:ind w:left="1286" w:hanging="720"/>
      </w:pPr>
      <w:rPr>
        <w:vertAlign w:val="baseline"/>
      </w:rPr>
    </w:lvl>
    <w:lvl w:ilvl="3">
      <w:start w:val="1"/>
      <w:numFmt w:val="decimal"/>
      <w:lvlText w:val="%1.%2.%3.%4"/>
      <w:lvlJc w:val="left"/>
      <w:pPr>
        <w:ind w:left="1569" w:hanging="720"/>
      </w:pPr>
      <w:rPr>
        <w:vertAlign w:val="baseline"/>
      </w:rPr>
    </w:lvl>
    <w:lvl w:ilvl="4">
      <w:start w:val="1"/>
      <w:numFmt w:val="decimal"/>
      <w:lvlText w:val="%1.%2.%3.%4.%5"/>
      <w:lvlJc w:val="left"/>
      <w:pPr>
        <w:ind w:left="2212" w:hanging="1080"/>
      </w:pPr>
      <w:rPr>
        <w:vertAlign w:val="baseline"/>
      </w:rPr>
    </w:lvl>
    <w:lvl w:ilvl="5">
      <w:start w:val="1"/>
      <w:numFmt w:val="decimal"/>
      <w:lvlText w:val="%1.%2.%3.%4.%5.%6"/>
      <w:lvlJc w:val="left"/>
      <w:pPr>
        <w:ind w:left="2495" w:hanging="1080"/>
      </w:pPr>
      <w:rPr>
        <w:vertAlign w:val="baseline"/>
      </w:rPr>
    </w:lvl>
    <w:lvl w:ilvl="6">
      <w:start w:val="1"/>
      <w:numFmt w:val="decimal"/>
      <w:lvlText w:val="%1.%2.%3.%4.%5.%6.%7"/>
      <w:lvlJc w:val="left"/>
      <w:pPr>
        <w:ind w:left="3138" w:hanging="1440"/>
      </w:pPr>
      <w:rPr>
        <w:vertAlign w:val="baseline"/>
      </w:rPr>
    </w:lvl>
    <w:lvl w:ilvl="7">
      <w:start w:val="1"/>
      <w:numFmt w:val="decimal"/>
      <w:lvlText w:val="%1.%2.%3.%4.%5.%6.%7.%8"/>
      <w:lvlJc w:val="left"/>
      <w:pPr>
        <w:ind w:left="3421" w:hanging="1438"/>
      </w:pPr>
      <w:rPr>
        <w:vertAlign w:val="baseline"/>
      </w:rPr>
    </w:lvl>
    <w:lvl w:ilvl="8">
      <w:start w:val="1"/>
      <w:numFmt w:val="decimal"/>
      <w:lvlText w:val="%1.%2.%3.%4.%5.%6.%7.%8.%9"/>
      <w:lvlJc w:val="left"/>
      <w:pPr>
        <w:ind w:left="4064" w:hanging="1800"/>
      </w:pPr>
      <w:rPr>
        <w:vertAlign w:val="baseline"/>
      </w:rPr>
    </w:lvl>
  </w:abstractNum>
  <w:abstractNum w:abstractNumId="16" w15:restartNumberingAfterBreak="0">
    <w:nsid w:val="56610071"/>
    <w:multiLevelType w:val="multilevel"/>
    <w:tmpl w:val="1732591E"/>
    <w:lvl w:ilvl="0">
      <w:start w:val="2"/>
      <w:numFmt w:val="decimal"/>
      <w:lvlText w:val="%1"/>
      <w:lvlJc w:val="left"/>
      <w:pPr>
        <w:ind w:left="480" w:hanging="480"/>
      </w:pPr>
      <w:rPr>
        <w:b w:val="0"/>
        <w:bCs w:val="0"/>
        <w:color w:val="000000"/>
      </w:rPr>
    </w:lvl>
    <w:lvl w:ilvl="1">
      <w:start w:val="6"/>
      <w:numFmt w:val="decimal"/>
      <w:lvlText w:val="%1.%2"/>
      <w:lvlJc w:val="left"/>
      <w:pPr>
        <w:ind w:left="479" w:hanging="480"/>
      </w:pPr>
      <w:rPr>
        <w:b w:val="0"/>
        <w:bCs w:val="0"/>
        <w:color w:val="000000"/>
      </w:rPr>
    </w:lvl>
    <w:lvl w:ilvl="2">
      <w:start w:val="1"/>
      <w:numFmt w:val="decimal"/>
      <w:lvlText w:val="%1.%2.%3"/>
      <w:lvlJc w:val="left"/>
      <w:pPr>
        <w:ind w:left="718" w:hanging="720"/>
      </w:pPr>
      <w:rPr>
        <w:b w:val="0"/>
        <w:bCs w:val="0"/>
        <w:color w:val="000000"/>
      </w:rPr>
    </w:lvl>
    <w:lvl w:ilvl="3">
      <w:start w:val="1"/>
      <w:numFmt w:val="decimal"/>
      <w:lvlText w:val="%1.%2.%3.%4"/>
      <w:lvlJc w:val="left"/>
      <w:pPr>
        <w:ind w:left="717" w:hanging="720"/>
      </w:pPr>
      <w:rPr>
        <w:b w:val="0"/>
        <w:bCs w:val="0"/>
        <w:color w:val="000000"/>
      </w:rPr>
    </w:lvl>
    <w:lvl w:ilvl="4">
      <w:start w:val="1"/>
      <w:numFmt w:val="decimal"/>
      <w:lvlText w:val="%1.%2.%3.%4.%5"/>
      <w:lvlJc w:val="left"/>
      <w:pPr>
        <w:ind w:left="1076" w:hanging="1080"/>
      </w:pPr>
      <w:rPr>
        <w:b w:val="0"/>
        <w:bCs w:val="0"/>
        <w:color w:val="000000"/>
      </w:rPr>
    </w:lvl>
    <w:lvl w:ilvl="5">
      <w:start w:val="1"/>
      <w:numFmt w:val="decimal"/>
      <w:lvlText w:val="%1.%2.%3.%4.%5.%6"/>
      <w:lvlJc w:val="left"/>
      <w:pPr>
        <w:ind w:left="1075" w:hanging="1080"/>
      </w:pPr>
      <w:rPr>
        <w:b w:val="0"/>
        <w:bCs w:val="0"/>
        <w:color w:val="000000"/>
      </w:rPr>
    </w:lvl>
    <w:lvl w:ilvl="6">
      <w:start w:val="1"/>
      <w:numFmt w:val="decimal"/>
      <w:lvlText w:val="%1.%2.%3.%4.%5.%6.%7"/>
      <w:lvlJc w:val="left"/>
      <w:pPr>
        <w:ind w:left="1434" w:hanging="1440"/>
      </w:pPr>
      <w:rPr>
        <w:b w:val="0"/>
        <w:bCs w:val="0"/>
        <w:color w:val="000000"/>
      </w:rPr>
    </w:lvl>
    <w:lvl w:ilvl="7">
      <w:start w:val="1"/>
      <w:numFmt w:val="decimal"/>
      <w:lvlText w:val="%1.%2.%3.%4.%5.%6.%7.%8"/>
      <w:lvlJc w:val="left"/>
      <w:pPr>
        <w:ind w:left="1433" w:hanging="1440"/>
      </w:pPr>
      <w:rPr>
        <w:b w:val="0"/>
        <w:bCs w:val="0"/>
        <w:color w:val="000000"/>
      </w:rPr>
    </w:lvl>
    <w:lvl w:ilvl="8">
      <w:start w:val="1"/>
      <w:numFmt w:val="decimal"/>
      <w:lvlText w:val="%1.%2.%3.%4.%5.%6.%7.%8.%9"/>
      <w:lvlJc w:val="left"/>
      <w:pPr>
        <w:ind w:left="1432" w:hanging="1440"/>
      </w:pPr>
      <w:rPr>
        <w:b w:val="0"/>
        <w:bCs w:val="0"/>
        <w:color w:val="000000"/>
      </w:rPr>
    </w:lvl>
  </w:abstractNum>
  <w:abstractNum w:abstractNumId="17" w15:restartNumberingAfterBreak="0">
    <w:nsid w:val="5BAD4614"/>
    <w:multiLevelType w:val="multilevel"/>
    <w:tmpl w:val="69DCB588"/>
    <w:lvl w:ilvl="0">
      <w:start w:val="2"/>
      <w:numFmt w:val="decimal"/>
      <w:lvlText w:val="%1"/>
      <w:lvlJc w:val="left"/>
      <w:pPr>
        <w:ind w:left="480" w:hanging="480"/>
      </w:pPr>
    </w:lvl>
    <w:lvl w:ilvl="1">
      <w:start w:val="1"/>
      <w:numFmt w:val="decimal"/>
      <w:lvlText w:val="%1.%2"/>
      <w:lvlJc w:val="left"/>
      <w:pPr>
        <w:ind w:left="480" w:hanging="480"/>
      </w:pPr>
    </w:lvl>
    <w:lvl w:ilvl="2">
      <w:start w:val="1"/>
      <w:numFmt w:val="upperRoman"/>
      <w:lvlText w:val="%3."/>
      <w:lvlJc w:val="righ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5C6D1BB2"/>
    <w:multiLevelType w:val="multilevel"/>
    <w:tmpl w:val="63402AF8"/>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11F1F9B"/>
    <w:multiLevelType w:val="multilevel"/>
    <w:tmpl w:val="8960B2CA"/>
    <w:lvl w:ilvl="0">
      <w:start w:val="2"/>
      <w:numFmt w:val="decimal"/>
      <w:lvlText w:val="%1"/>
      <w:lvlJc w:val="left"/>
      <w:pPr>
        <w:ind w:left="36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4680" w:hanging="1800"/>
      </w:pPr>
      <w:rPr>
        <w:vertAlign w:val="baseline"/>
      </w:rPr>
    </w:lvl>
  </w:abstractNum>
  <w:abstractNum w:abstractNumId="20" w15:restartNumberingAfterBreak="0">
    <w:nsid w:val="64E73BA4"/>
    <w:multiLevelType w:val="multilevel"/>
    <w:tmpl w:val="8B547B24"/>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68A84F10"/>
    <w:multiLevelType w:val="multilevel"/>
    <w:tmpl w:val="A7B436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BC7DFE"/>
    <w:multiLevelType w:val="multilevel"/>
    <w:tmpl w:val="7EB6A6F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sz w:val="22"/>
        <w:szCs w:val="22"/>
        <w:vertAlign w:val="baseline"/>
      </w:rPr>
    </w:lvl>
    <w:lvl w:ilvl="2">
      <w:start w:val="1"/>
      <w:numFmt w:val="decimal"/>
      <w:lvlText w:val="%1.%2.%3"/>
      <w:lvlJc w:val="left"/>
      <w:pPr>
        <w:ind w:left="2160" w:hanging="1080"/>
      </w:pPr>
      <w:rPr>
        <w:sz w:val="24"/>
        <w:szCs w:val="24"/>
        <w:vertAlign w:val="baseline"/>
      </w:rPr>
    </w:lvl>
    <w:lvl w:ilvl="3">
      <w:start w:val="1"/>
      <w:numFmt w:val="decimal"/>
      <w:lvlText w:val="%1.%2.%3.%4"/>
      <w:lvlJc w:val="left"/>
      <w:pPr>
        <w:ind w:left="2520" w:hanging="1080"/>
      </w:pPr>
      <w:rPr>
        <w:sz w:val="24"/>
        <w:szCs w:val="24"/>
        <w:vertAlign w:val="baseline"/>
      </w:rPr>
    </w:lvl>
    <w:lvl w:ilvl="4">
      <w:start w:val="1"/>
      <w:numFmt w:val="decimal"/>
      <w:lvlText w:val="%1.%2.%3.%4.%5"/>
      <w:lvlJc w:val="left"/>
      <w:pPr>
        <w:ind w:left="3240" w:hanging="1440"/>
      </w:pPr>
      <w:rPr>
        <w:sz w:val="24"/>
        <w:szCs w:val="24"/>
        <w:vertAlign w:val="baseline"/>
      </w:rPr>
    </w:lvl>
    <w:lvl w:ilvl="5">
      <w:start w:val="1"/>
      <w:numFmt w:val="decimal"/>
      <w:lvlText w:val="%1.%2.%3.%4.%5.%6"/>
      <w:lvlJc w:val="left"/>
      <w:pPr>
        <w:ind w:left="3960" w:hanging="1800"/>
      </w:pPr>
      <w:rPr>
        <w:sz w:val="24"/>
        <w:szCs w:val="24"/>
        <w:vertAlign w:val="baseline"/>
      </w:rPr>
    </w:lvl>
    <w:lvl w:ilvl="6">
      <w:start w:val="1"/>
      <w:numFmt w:val="decimal"/>
      <w:lvlText w:val="%1.%2.%3.%4.%5.%6.%7"/>
      <w:lvlJc w:val="left"/>
      <w:pPr>
        <w:ind w:left="4680" w:hanging="2160"/>
      </w:pPr>
      <w:rPr>
        <w:sz w:val="24"/>
        <w:szCs w:val="24"/>
        <w:vertAlign w:val="baseline"/>
      </w:rPr>
    </w:lvl>
    <w:lvl w:ilvl="7">
      <w:start w:val="1"/>
      <w:numFmt w:val="decimal"/>
      <w:lvlText w:val="%1.%2.%3.%4.%5.%6.%7.%8"/>
      <w:lvlJc w:val="left"/>
      <w:pPr>
        <w:ind w:left="5400" w:hanging="2520"/>
      </w:pPr>
      <w:rPr>
        <w:sz w:val="24"/>
        <w:szCs w:val="24"/>
        <w:vertAlign w:val="baseline"/>
      </w:rPr>
    </w:lvl>
    <w:lvl w:ilvl="8">
      <w:start w:val="1"/>
      <w:numFmt w:val="decimal"/>
      <w:lvlText w:val="%1.%2.%3.%4.%5.%6.%7.%8.%9"/>
      <w:lvlJc w:val="left"/>
      <w:pPr>
        <w:ind w:left="6120" w:hanging="2880"/>
      </w:pPr>
      <w:rPr>
        <w:sz w:val="24"/>
        <w:szCs w:val="24"/>
        <w:vertAlign w:val="baseline"/>
      </w:rPr>
    </w:lvl>
  </w:abstractNum>
  <w:abstractNum w:abstractNumId="23" w15:restartNumberingAfterBreak="0">
    <w:nsid w:val="6CAA0FB7"/>
    <w:multiLevelType w:val="multilevel"/>
    <w:tmpl w:val="193085E4"/>
    <w:lvl w:ilvl="0">
      <w:start w:val="2"/>
      <w:numFmt w:val="decimal"/>
      <w:lvlText w:val="%1"/>
      <w:lvlJc w:val="left"/>
      <w:pPr>
        <w:ind w:left="480" w:hanging="480"/>
      </w:pPr>
    </w:lvl>
    <w:lvl w:ilvl="1">
      <w:start w:val="1"/>
      <w:numFmt w:val="decimal"/>
      <w:lvlText w:val="%1.%2"/>
      <w:lvlJc w:val="left"/>
      <w:pPr>
        <w:ind w:left="480" w:hanging="480"/>
      </w:p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1E6535F"/>
    <w:multiLevelType w:val="multilevel"/>
    <w:tmpl w:val="5D74BBE0"/>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5" w15:restartNumberingAfterBreak="0">
    <w:nsid w:val="794804A6"/>
    <w:multiLevelType w:val="multilevel"/>
    <w:tmpl w:val="F300DA80"/>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9"/>
  </w:num>
  <w:num w:numId="2">
    <w:abstractNumId w:val="10"/>
  </w:num>
  <w:num w:numId="3">
    <w:abstractNumId w:val="5"/>
  </w:num>
  <w:num w:numId="4">
    <w:abstractNumId w:val="2"/>
  </w:num>
  <w:num w:numId="5">
    <w:abstractNumId w:val="7"/>
  </w:num>
  <w:num w:numId="6">
    <w:abstractNumId w:val="15"/>
  </w:num>
  <w:num w:numId="7">
    <w:abstractNumId w:val="14"/>
  </w:num>
  <w:num w:numId="8">
    <w:abstractNumId w:val="6"/>
  </w:num>
  <w:num w:numId="9">
    <w:abstractNumId w:val="20"/>
  </w:num>
  <w:num w:numId="10">
    <w:abstractNumId w:val="18"/>
  </w:num>
  <w:num w:numId="11">
    <w:abstractNumId w:val="25"/>
  </w:num>
  <w:num w:numId="12">
    <w:abstractNumId w:val="0"/>
  </w:num>
  <w:num w:numId="13">
    <w:abstractNumId w:val="4"/>
  </w:num>
  <w:num w:numId="14">
    <w:abstractNumId w:val="12"/>
  </w:num>
  <w:num w:numId="15">
    <w:abstractNumId w:val="9"/>
  </w:num>
  <w:num w:numId="16">
    <w:abstractNumId w:val="22"/>
  </w:num>
  <w:num w:numId="17">
    <w:abstractNumId w:val="17"/>
  </w:num>
  <w:num w:numId="18">
    <w:abstractNumId w:val="23"/>
  </w:num>
  <w:num w:numId="19">
    <w:abstractNumId w:val="24"/>
  </w:num>
  <w:num w:numId="20">
    <w:abstractNumId w:val="3"/>
  </w:num>
  <w:num w:numId="21">
    <w:abstractNumId w:val="16"/>
  </w:num>
  <w:num w:numId="22">
    <w:abstractNumId w:val="1"/>
  </w:num>
  <w:num w:numId="23">
    <w:abstractNumId w:val="11"/>
  </w:num>
  <w:num w:numId="24">
    <w:abstractNumId w:val="8"/>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721"/>
    <w:rsid w:val="00040721"/>
    <w:rsid w:val="00600E05"/>
    <w:rsid w:val="00603BF6"/>
    <w:rsid w:val="00774207"/>
    <w:rsid w:val="00E819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D00D6"/>
  <w15:docId w15:val="{B3104D66-A15F-474A-866A-40331862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pt-BR" w:eastAsia="pt-BR"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jc w:val="center"/>
      <w:outlineLvl w:val="0"/>
    </w:pPr>
    <w:rPr>
      <w:rFonts w:ascii="Verdana" w:eastAsia="Verdana" w:hAnsi="Verdana" w:cs="Verdana"/>
      <w:i/>
      <w:iCs/>
      <w:color w:val="0000FF"/>
      <w:sz w:val="18"/>
      <w:szCs w:val="1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tW18F17qINTck6CWqX2O0oPi8w==">CgMxLjAyDmguc3E2OTI1bGptNHI1OAByITFfU01RMzVfcVRuRTF2TU1sWWx5QzJ5QVJ3UWZtcGFlOQ==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5131</Words>
  <Characters>27711</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Kovacs</dc:creator>
  <cp:lastModifiedBy>André Luiz Bressiani</cp:lastModifiedBy>
  <cp:revision>2</cp:revision>
  <dcterms:created xsi:type="dcterms:W3CDTF">2026-09-01T18:26:00Z</dcterms:created>
  <dcterms:modified xsi:type="dcterms:W3CDTF">2026-09-01T18:26:00Z</dcterms:modified>
</cp:coreProperties>
</file>